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09: Skills and Deterministic Hooks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09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Skills and Deterministic Hooks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Verified on 2026-04-10. Primary sources are prioritized.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references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Automate workflows with hooks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https://code.claude.com/docs/en/hooks-guide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practical quickstart for lifecycle hooks with concrete examples such as notifications, auto-formatting, and protected-file controls.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Hooks reference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https://code.claude.com/docs/en/hooks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documents hook lifecycle events, configuration schema, scope, and the distinction between command, prompt, agent, and HTTP hooks.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Create custom subagents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https://code.claude.com/docs/en/sub-agents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current official docs explicitly describe skills as reusable context that can be loaded into subagents and clarify where skills fit relative to isolated agent execution.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Strongly recommended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https://code.claude.com/docs/en/settings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explains scope hierarchy so teams can decide whether a hook belongs in user, project, local, or managed configuration.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Claude Code Docs, Common workflows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https://code.claude.com/docs/en/tutorials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Why it matters: useful broader operational framing for how hooks and extensibility fit into everyday development rather than stand-alone demos.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follow-through</w:t>
      </w:r>
    </w:p>
    <w:p>
      <w:pPr>
        <w:spacing w:before="0" w:after="80" w:line="276" w:lineRule="auto"/>
      </w:pPr>
      <w:r>
        <w:rPr>
          <w:rFonts w:ascii="Calibri" w:hAnsi="Calibri"/>
          <w:color w:val="333333"/>
          <w:sz w:val="22"/>
        </w:rPr>
        <w:t>Pick one repeated workflow rule in your environment and answer: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Is this guidance, enforcement, or both?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If it is mandatory, what is the earliest lifecycle point where a hook should run?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color w:val="333333"/>
          <w:sz w:val="22"/>
        </w:rPr>
        <w:t>If it is reusable but not mandatory, should it become a skill instead?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09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