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703" w14:textId="0A0A3743" w:rsidR="000C2BBB" w:rsidRPr="00FE707B" w:rsidRDefault="00FE707B" w:rsidP="004D1ECB">
      <w:pPr>
        <w:spacing w:line="240" w:lineRule="auto"/>
        <w:rPr>
          <w:rStyle w:val="Pogrubienie"/>
        </w:rPr>
      </w:pPr>
      <w:r w:rsidRPr="00FE707B">
        <w:rPr>
          <w:rStyle w:val="Pogrubienie"/>
        </w:rPr>
        <w:t>Algorytmy Geometryczne</w:t>
      </w:r>
    </w:p>
    <w:p w14:paraId="44F6AD94" w14:textId="4673A679" w:rsidR="00FE707B" w:rsidRPr="00FE707B" w:rsidRDefault="00FE707B" w:rsidP="004D1ECB">
      <w:pPr>
        <w:spacing w:line="240" w:lineRule="auto"/>
        <w:rPr>
          <w:rStyle w:val="Pogrubienie"/>
        </w:rPr>
      </w:pPr>
      <w:r w:rsidRPr="00FE707B">
        <w:rPr>
          <w:rStyle w:val="Pogrubienie"/>
        </w:rPr>
        <w:t>Laboratorium 1 – Sprawozdanie</w:t>
      </w:r>
    </w:p>
    <w:p w14:paraId="338D9C7F" w14:textId="1C7716C3" w:rsidR="00FE707B" w:rsidRPr="00FE707B" w:rsidRDefault="00FE707B" w:rsidP="004D1ECB">
      <w:pPr>
        <w:spacing w:after="480" w:line="240" w:lineRule="auto"/>
        <w:rPr>
          <w:rStyle w:val="Pogrubienie"/>
        </w:rPr>
      </w:pPr>
      <w:r w:rsidRPr="00FE707B">
        <w:rPr>
          <w:rStyle w:val="Pogrubienie"/>
        </w:rPr>
        <w:t>Jan Smółka</w:t>
      </w:r>
    </w:p>
    <w:p w14:paraId="1FB0ED17" w14:textId="6D1C825E" w:rsidR="00FE707B" w:rsidRDefault="00B062AD" w:rsidP="004D1ECB">
      <w:pPr>
        <w:pStyle w:val="Akapitzlist"/>
        <w:numPr>
          <w:ilvl w:val="0"/>
          <w:numId w:val="1"/>
        </w:numPr>
        <w:spacing w:line="240" w:lineRule="auto"/>
        <w:rPr>
          <w:rStyle w:val="Pogrubienie"/>
        </w:rPr>
      </w:pPr>
      <w:r>
        <w:rPr>
          <w:rStyle w:val="Pogrubienie"/>
        </w:rPr>
        <w:t>Sposób wykonania zadania</w:t>
      </w:r>
    </w:p>
    <w:p w14:paraId="2FA9B53B" w14:textId="3B437F38" w:rsidR="00FE707B" w:rsidRDefault="00FE707B" w:rsidP="004D1ECB">
      <w:pPr>
        <w:pStyle w:val="Akapitzlist"/>
        <w:numPr>
          <w:ilvl w:val="1"/>
          <w:numId w:val="1"/>
        </w:numPr>
        <w:spacing w:line="240" w:lineRule="auto"/>
        <w:rPr>
          <w:rStyle w:val="Pogrubienie"/>
        </w:rPr>
      </w:pPr>
      <w:r>
        <w:rPr>
          <w:rStyle w:val="Pogrubienie"/>
        </w:rPr>
        <w:t>Kod programu</w:t>
      </w:r>
    </w:p>
    <w:p w14:paraId="620285D0" w14:textId="791A8F8D" w:rsidR="00FE707B" w:rsidRDefault="00FE707B" w:rsidP="004D1ECB">
      <w:pPr>
        <w:pStyle w:val="Akapitzlist"/>
        <w:spacing w:line="240" w:lineRule="auto"/>
        <w:ind w:left="792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 xml:space="preserve">Do rozwiązania zadania posłużyłem się proponowaną przez Prowadzących biblioteką graficzną. W pliku „zadanie_1.ipynb” znajdują się funkcje narzędzia graficznego, wraz z funkcjami realizującymi poszczególne </w:t>
      </w:r>
      <w:r w:rsidR="002B1E3E">
        <w:rPr>
          <w:rStyle w:val="Pogrubienie"/>
          <w:b w:val="0"/>
          <w:bCs w:val="0"/>
        </w:rPr>
        <w:t>punkty</w:t>
      </w:r>
      <w:r>
        <w:rPr>
          <w:rStyle w:val="Pogrubienie"/>
          <w:b w:val="0"/>
          <w:bCs w:val="0"/>
        </w:rPr>
        <w:t xml:space="preserve"> zadania.</w:t>
      </w:r>
    </w:p>
    <w:p w14:paraId="77FF7A24" w14:textId="4FBD6683" w:rsidR="00FE707B" w:rsidRDefault="00FE707B" w:rsidP="004D1ECB">
      <w:pPr>
        <w:pStyle w:val="Akapitzlist"/>
        <w:spacing w:line="240" w:lineRule="auto"/>
        <w:ind w:left="794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 xml:space="preserve">Punkty każdego ze zbiorów generowane są za pomocą idiomatycznej konstrukcji języka </w:t>
      </w:r>
      <w:proofErr w:type="spellStart"/>
      <w:r>
        <w:rPr>
          <w:rStyle w:val="Pogrubienie"/>
          <w:b w:val="0"/>
          <w:bCs w:val="0"/>
        </w:rPr>
        <w:t>Python</w:t>
      </w:r>
      <w:proofErr w:type="spellEnd"/>
      <w:r>
        <w:rPr>
          <w:rStyle w:val="Pogrubienie"/>
          <w:b w:val="0"/>
          <w:bCs w:val="0"/>
        </w:rPr>
        <w:t xml:space="preserve"> – generatora. Każda z funkcji </w:t>
      </w:r>
      <w:proofErr w:type="spellStart"/>
      <w:r w:rsidRPr="00FE707B">
        <w:rPr>
          <w:rStyle w:val="Pogrubienie"/>
          <w:b w:val="0"/>
          <w:bCs w:val="0"/>
          <w:i/>
          <w:iCs/>
        </w:rPr>
        <w:t>square</w:t>
      </w:r>
      <w:proofErr w:type="spellEnd"/>
      <w:r w:rsidRPr="00FE707B">
        <w:rPr>
          <w:rStyle w:val="Pogrubienie"/>
          <w:b w:val="0"/>
          <w:bCs w:val="0"/>
          <w:i/>
          <w:iCs/>
        </w:rPr>
        <w:t xml:space="preserve">, </w:t>
      </w:r>
      <w:proofErr w:type="spellStart"/>
      <w:r w:rsidRPr="00FE707B">
        <w:rPr>
          <w:rStyle w:val="Pogrubienie"/>
          <w:b w:val="0"/>
          <w:bCs w:val="0"/>
          <w:i/>
          <w:iCs/>
        </w:rPr>
        <w:t>circle</w:t>
      </w:r>
      <w:proofErr w:type="spellEnd"/>
      <w:r w:rsidRPr="00FE707B">
        <w:rPr>
          <w:rStyle w:val="Pogrubienie"/>
          <w:b w:val="0"/>
          <w:bCs w:val="0"/>
          <w:i/>
          <w:iCs/>
        </w:rPr>
        <w:t xml:space="preserve"> i </w:t>
      </w:r>
      <w:proofErr w:type="spellStart"/>
      <w:r w:rsidRPr="00FE707B">
        <w:rPr>
          <w:rStyle w:val="Pogrubienie"/>
          <w:b w:val="0"/>
          <w:bCs w:val="0"/>
          <w:i/>
          <w:iCs/>
        </w:rPr>
        <w:t>line</w:t>
      </w:r>
      <w:proofErr w:type="spellEnd"/>
      <w:r>
        <w:rPr>
          <w:rStyle w:val="Pogrubienie"/>
          <w:b w:val="0"/>
          <w:bCs w:val="0"/>
          <w:i/>
          <w:iCs/>
        </w:rPr>
        <w:t xml:space="preserve"> </w:t>
      </w:r>
      <w:r>
        <w:rPr>
          <w:rStyle w:val="Pogrubienie"/>
          <w:b w:val="0"/>
          <w:bCs w:val="0"/>
        </w:rPr>
        <w:t>posiada swój generator punktów.</w:t>
      </w:r>
    </w:p>
    <w:p w14:paraId="301293FF" w14:textId="5B339BDE" w:rsidR="00FE707B" w:rsidRPr="00902014" w:rsidRDefault="00FE707B" w:rsidP="004D1ECB">
      <w:pPr>
        <w:pStyle w:val="Akapitzlist"/>
        <w:numPr>
          <w:ilvl w:val="1"/>
          <w:numId w:val="1"/>
        </w:numPr>
        <w:spacing w:line="240" w:lineRule="auto"/>
        <w:rPr>
          <w:rStyle w:val="Pogrubienie"/>
        </w:rPr>
      </w:pPr>
      <w:r w:rsidRPr="00902014">
        <w:rPr>
          <w:rStyle w:val="Pogrubienie"/>
        </w:rPr>
        <w:t>Metoda badania</w:t>
      </w:r>
    </w:p>
    <w:p w14:paraId="505B47C0" w14:textId="42D30DB4" w:rsidR="00902014" w:rsidRDefault="00FE707B" w:rsidP="004D1ECB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b w:val="0"/>
          <w:bCs w:val="0"/>
        </w:rPr>
        <w:t>Podział każdego ze zbioru punktów zbadano przy użyciu czterech metod obliczania wyznacznika macierzy: wyznacznika dwu- i trójwymiarowego, z biblioteki numerycznej oraz</w:t>
      </w:r>
      <w:r w:rsidR="00902014">
        <w:rPr>
          <w:rStyle w:val="Pogrubienie"/>
          <w:b w:val="0"/>
          <w:bCs w:val="0"/>
        </w:rPr>
        <w:t> </w:t>
      </w:r>
      <w:r>
        <w:rPr>
          <w:rStyle w:val="Pogrubienie"/>
          <w:b w:val="0"/>
          <w:bCs w:val="0"/>
        </w:rPr>
        <w:t>implementowanego samodzielnie.</w:t>
      </w:r>
      <w:r w:rsidR="00902014">
        <w:rPr>
          <w:rStyle w:val="Pogrubienie"/>
          <w:b w:val="0"/>
          <w:bCs w:val="0"/>
        </w:rPr>
        <w:t xml:space="preserve"> Zbadano również różne tolerancje dla wartości 0: kolejne badane dokładności tworzyły ciąg geometryczny o ilorazie </w:t>
      </w:r>
      <m:oMath>
        <m:f>
          <m:fPr>
            <m:ctrlPr>
              <w:rPr>
                <w:rStyle w:val="Pogrubienie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Pogrubienie"/>
                <w:rFonts w:ascii="Cambria Math" w:hAnsi="Cambria Math"/>
              </w:rPr>
              <m:t>1</m:t>
            </m:r>
          </m:num>
          <m:den>
            <m:r>
              <w:rPr>
                <w:rStyle w:val="Pogrubienie"/>
                <w:rFonts w:ascii="Cambria Math" w:hAnsi="Cambria Math"/>
              </w:rPr>
              <m:t>10</m:t>
            </m:r>
          </m:den>
        </m:f>
      </m:oMath>
      <w:r w:rsidR="00902014">
        <w:rPr>
          <w:rStyle w:val="Pogrubienie"/>
          <w:rFonts w:eastAsiaTheme="minorEastAsia"/>
          <w:b w:val="0"/>
          <w:bCs w:val="0"/>
        </w:rPr>
        <w:t xml:space="preserve">, o wyrazach z zakresu </w:t>
      </w:r>
      <m:oMath>
        <m:r>
          <w:rPr>
            <w:rStyle w:val="Pogrubienie"/>
            <w:rFonts w:ascii="Cambria Math" w:eastAsiaTheme="minorEastAsia" w:hAnsi="Cambria Math"/>
          </w:rPr>
          <m:t xml:space="preserve">1 ÷ </m:t>
        </m:r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-30</m:t>
            </m:r>
          </m:sup>
        </m:sSup>
      </m:oMath>
      <w:r w:rsidR="00902014">
        <w:rPr>
          <w:rStyle w:val="Pogrubienie"/>
          <w:rFonts w:eastAsiaTheme="minorEastAsia"/>
          <w:b w:val="0"/>
          <w:bCs w:val="0"/>
        </w:rPr>
        <w:t>. Otrzymane liczności podziałów zamieszczone są w tabelach dołączonych do sprawozdania.</w:t>
      </w:r>
    </w:p>
    <w:p w14:paraId="370BF56A" w14:textId="74EE3D69" w:rsidR="00902014" w:rsidRPr="00902014" w:rsidRDefault="00902014" w:rsidP="004D1ECB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902014">
        <w:rPr>
          <w:rStyle w:val="Pogrubienie"/>
          <w:rFonts w:eastAsiaTheme="minorEastAsia"/>
        </w:rPr>
        <w:t>Wykresy</w:t>
      </w:r>
    </w:p>
    <w:p w14:paraId="2DA91EA7" w14:textId="6167D814" w:rsidR="00B062AD" w:rsidRDefault="00902014" w:rsidP="00B062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Dla każdego zbioru punktów sporządzono jeden wykres, dla tolerancji </w:t>
      </w:r>
      <m:oMath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-16</m:t>
            </m:r>
          </m:sup>
        </m:sSup>
      </m:oMath>
      <w:r>
        <w:rPr>
          <w:rStyle w:val="Pogrubienie"/>
          <w:rFonts w:eastAsiaTheme="minorEastAsia"/>
          <w:b w:val="0"/>
          <w:bCs w:val="0"/>
        </w:rPr>
        <w:t xml:space="preserve"> i dla własnej metody obliczania wyznacznika macierzy 3x3. Dane zgromadzone w tabelach wskazują na brak konieczności obrazowania większej liczby wyników.</w:t>
      </w:r>
      <w:r w:rsidR="00B062AD">
        <w:rPr>
          <w:rStyle w:val="Pogrubienie"/>
          <w:rFonts w:eastAsiaTheme="minorEastAsia"/>
          <w:b w:val="0"/>
          <w:bCs w:val="0"/>
        </w:rPr>
        <w:br/>
        <w:t>Punkty leżące po lewej stronie prostej zaznaczono na wykresach kolorem niebieskim, na prawo – czerwonym, a leżące na prostej – zielonym.</w:t>
      </w:r>
    </w:p>
    <w:p w14:paraId="67D9500E" w14:textId="666E3103" w:rsidR="00D403F3" w:rsidRPr="00D403F3" w:rsidRDefault="00D403F3" w:rsidP="00D403F3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</w:rPr>
        <w:t xml:space="preserve"> Środowisko programistyczne</w:t>
      </w:r>
    </w:p>
    <w:p w14:paraId="2C5B3248" w14:textId="403B90FA" w:rsidR="00D403F3" w:rsidRPr="00D403F3" w:rsidRDefault="00D403F3" w:rsidP="00D403F3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Do wykonania zadania użyto proponowanej przez Prowadzących biblioteki graficznej, za pomocą której zrealizowano funkcje napisane w język</w:t>
      </w:r>
      <w:r w:rsidR="007C6446">
        <w:rPr>
          <w:rStyle w:val="Pogrubienie"/>
          <w:rFonts w:eastAsiaTheme="minorEastAsia"/>
          <w:b w:val="0"/>
          <w:bCs w:val="0"/>
        </w:rPr>
        <w:t>u</w:t>
      </w:r>
      <w:r>
        <w:rPr>
          <w:rStyle w:val="Pogrubienie"/>
          <w:rFonts w:eastAsiaTheme="minorEastAsia"/>
          <w:b w:val="0"/>
          <w:bCs w:val="0"/>
        </w:rPr>
        <w:t xml:space="preserve"> </w:t>
      </w:r>
      <w:proofErr w:type="spellStart"/>
      <w:r>
        <w:rPr>
          <w:rStyle w:val="Pogrubienie"/>
          <w:rFonts w:eastAsiaTheme="minorEastAsia"/>
          <w:b w:val="0"/>
          <w:bCs w:val="0"/>
        </w:rPr>
        <w:t>Python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, w środowisku </w:t>
      </w:r>
      <w:proofErr w:type="spellStart"/>
      <w:r>
        <w:rPr>
          <w:rStyle w:val="Pogrubienie"/>
          <w:rFonts w:eastAsiaTheme="minorEastAsia"/>
          <w:b w:val="0"/>
          <w:bCs w:val="0"/>
        </w:rPr>
        <w:t>Jupyter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 Notebook. Obliczenia wykonano na komputerze z systemem Windows 11, z procesorem Intel </w:t>
      </w:r>
      <w:proofErr w:type="spellStart"/>
      <w:r>
        <w:rPr>
          <w:rStyle w:val="Pogrubienie"/>
          <w:rFonts w:eastAsiaTheme="minorEastAsia"/>
          <w:b w:val="0"/>
          <w:bCs w:val="0"/>
        </w:rPr>
        <w:t>Core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 i7, o częstotliwości taktowania 2 GHz.</w:t>
      </w:r>
    </w:p>
    <w:p w14:paraId="1446C8E3" w14:textId="68D28776" w:rsidR="00B062AD" w:rsidRPr="002B1E3E" w:rsidRDefault="00B062AD" w:rsidP="00B062AD">
      <w:pPr>
        <w:pStyle w:val="Akapitzlist"/>
        <w:keepNext/>
        <w:numPr>
          <w:ilvl w:val="0"/>
          <w:numId w:val="1"/>
        </w:numPr>
        <w:spacing w:line="240" w:lineRule="auto"/>
        <w:ind w:left="357" w:hanging="357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Wyniki</w:t>
      </w:r>
    </w:p>
    <w:p w14:paraId="6FA3B559" w14:textId="2D8434EC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A</w:t>
      </w:r>
    </w:p>
    <w:p w14:paraId="13E38C98" w14:textId="77777777" w:rsidR="00D403F3" w:rsidRDefault="00B062AD" w:rsidP="00D403F3">
      <w:pPr>
        <w:pStyle w:val="Akapitzlist"/>
        <w:keepNext/>
        <w:spacing w:line="240" w:lineRule="auto"/>
        <w:ind w:left="792"/>
      </w:pPr>
      <w:r>
        <w:rPr>
          <w:rFonts w:eastAsiaTheme="minorEastAsia"/>
          <w:noProof/>
        </w:rPr>
        <w:drawing>
          <wp:inline distT="0" distB="0" distL="0" distR="0" wp14:anchorId="62080A0A" wp14:editId="4F643BC2">
            <wp:extent cx="4981575" cy="37361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03" cy="37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038" w14:textId="4A83883F" w:rsidR="00B062AD" w:rsidRDefault="00D403F3" w:rsidP="00D403F3">
      <w:pPr>
        <w:pStyle w:val="Legenda"/>
        <w:jc w:val="center"/>
        <w:rPr>
          <w:rStyle w:val="Pogrubienie"/>
          <w:rFonts w:eastAsiaTheme="minorEastAsia"/>
          <w:b w:val="0"/>
          <w:bCs w:val="0"/>
        </w:rPr>
      </w:pPr>
      <w:r>
        <w:t xml:space="preserve">Rysunek </w:t>
      </w:r>
      <w:fldSimple w:instr=" SEQ Rysunek \* ARABIC ">
        <w:r w:rsidR="00336A8C">
          <w:rPr>
            <w:noProof/>
          </w:rPr>
          <w:t>1</w:t>
        </w:r>
      </w:fldSimple>
      <w:r>
        <w:t xml:space="preserve"> - Zbiór A</w:t>
      </w:r>
    </w:p>
    <w:p w14:paraId="560A783E" w14:textId="54DAE77C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B</w:t>
      </w:r>
    </w:p>
    <w:p w14:paraId="2AEB37D6" w14:textId="77777777" w:rsidR="00D403F3" w:rsidRDefault="00B062AD" w:rsidP="00D403F3">
      <w:pPr>
        <w:pStyle w:val="Akapitzlist"/>
        <w:keepNext/>
        <w:spacing w:line="240" w:lineRule="auto"/>
        <w:ind w:left="792"/>
      </w:pPr>
      <w:r>
        <w:rPr>
          <w:rFonts w:eastAsiaTheme="minorEastAsia"/>
          <w:noProof/>
        </w:rPr>
        <w:drawing>
          <wp:inline distT="0" distB="0" distL="0" distR="0" wp14:anchorId="58008748" wp14:editId="42CAB894">
            <wp:extent cx="5067300" cy="3800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60A1" w14:textId="07FE148E" w:rsidR="00B062AD" w:rsidRDefault="00D403F3" w:rsidP="00D403F3">
      <w:pPr>
        <w:pStyle w:val="Legenda"/>
        <w:jc w:val="center"/>
        <w:rPr>
          <w:rStyle w:val="Pogrubienie"/>
          <w:rFonts w:eastAsiaTheme="minorEastAsia"/>
          <w:b w:val="0"/>
          <w:bCs w:val="0"/>
        </w:rPr>
      </w:pPr>
      <w:r>
        <w:t xml:space="preserve">Rysunek </w:t>
      </w:r>
      <w:fldSimple w:instr=" SEQ Rysunek \* ARABIC ">
        <w:r w:rsidR="00336A8C">
          <w:rPr>
            <w:noProof/>
          </w:rPr>
          <w:t>2</w:t>
        </w:r>
      </w:fldSimple>
      <w:r>
        <w:t xml:space="preserve"> - Zbiór B</w:t>
      </w:r>
    </w:p>
    <w:p w14:paraId="69A2E34D" w14:textId="096E8E28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Zbiór C</w:t>
      </w:r>
    </w:p>
    <w:p w14:paraId="2A25F798" w14:textId="77777777" w:rsidR="00D403F3" w:rsidRDefault="00B062AD" w:rsidP="00D403F3">
      <w:pPr>
        <w:pStyle w:val="Akapitzlist"/>
        <w:keepNext/>
        <w:spacing w:line="240" w:lineRule="auto"/>
        <w:ind w:left="792"/>
      </w:pPr>
      <w:r>
        <w:rPr>
          <w:rFonts w:eastAsiaTheme="minorEastAsia"/>
          <w:noProof/>
        </w:rPr>
        <w:drawing>
          <wp:inline distT="0" distB="0" distL="0" distR="0" wp14:anchorId="7DBF6073" wp14:editId="3EAD3560">
            <wp:extent cx="5054600" cy="379095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676" cy="38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38DE" w14:textId="520D5682" w:rsidR="00B062AD" w:rsidRDefault="00D403F3" w:rsidP="00D403F3">
      <w:pPr>
        <w:pStyle w:val="Legenda"/>
        <w:jc w:val="center"/>
        <w:rPr>
          <w:rStyle w:val="Pogrubienie"/>
          <w:rFonts w:eastAsiaTheme="minorEastAsia"/>
          <w:b w:val="0"/>
          <w:bCs w:val="0"/>
        </w:rPr>
      </w:pPr>
      <w:r>
        <w:t xml:space="preserve">Rysunek </w:t>
      </w:r>
      <w:fldSimple w:instr=" SEQ Rysunek \* ARABIC ">
        <w:r w:rsidR="00336A8C">
          <w:rPr>
            <w:noProof/>
          </w:rPr>
          <w:t>3</w:t>
        </w:r>
      </w:fldSimple>
      <w:r>
        <w:t xml:space="preserve">  - Zbiór C</w:t>
      </w:r>
    </w:p>
    <w:p w14:paraId="737DAB47" w14:textId="5A5372C6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D</w:t>
      </w:r>
    </w:p>
    <w:p w14:paraId="5A61914E" w14:textId="1D0F3C83" w:rsidR="00D403F3" w:rsidRDefault="00B54F27" w:rsidP="00D403F3">
      <w:pPr>
        <w:pStyle w:val="Akapitzlist"/>
        <w:keepNext/>
        <w:spacing w:line="240" w:lineRule="auto"/>
        <w:ind w:left="792"/>
      </w:pPr>
      <w:r>
        <w:rPr>
          <w:noProof/>
        </w:rPr>
        <w:drawing>
          <wp:inline distT="0" distB="0" distL="0" distR="0" wp14:anchorId="6C911D18" wp14:editId="0AB95887">
            <wp:extent cx="4622800" cy="346710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457" w14:textId="6DBEEFDF" w:rsidR="00B062AD" w:rsidRDefault="00D403F3" w:rsidP="00D403F3">
      <w:pPr>
        <w:pStyle w:val="Legenda"/>
        <w:jc w:val="center"/>
        <w:rPr>
          <w:rStyle w:val="Pogrubienie"/>
          <w:rFonts w:eastAsiaTheme="minorEastAsia"/>
          <w:b w:val="0"/>
          <w:bCs w:val="0"/>
        </w:rPr>
      </w:pPr>
      <w:r>
        <w:t xml:space="preserve">Rysunek </w:t>
      </w:r>
      <w:fldSimple w:instr=" SEQ Rysunek \* ARABIC ">
        <w:r w:rsidR="00336A8C">
          <w:rPr>
            <w:noProof/>
          </w:rPr>
          <w:t>4</w:t>
        </w:r>
      </w:fldSimple>
      <w:r>
        <w:t xml:space="preserve"> - Zbiór D</w:t>
      </w:r>
    </w:p>
    <w:p w14:paraId="433E24F5" w14:textId="43EB0DAB" w:rsidR="002B1E3E" w:rsidRPr="002B1E3E" w:rsidRDefault="002B1E3E" w:rsidP="00DC48AB">
      <w:pPr>
        <w:pStyle w:val="Akapitzlist"/>
        <w:keepNext/>
        <w:numPr>
          <w:ilvl w:val="0"/>
          <w:numId w:val="1"/>
        </w:numPr>
        <w:spacing w:line="240" w:lineRule="auto"/>
        <w:ind w:left="357" w:hanging="357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Analiza otrzymanych wyników</w:t>
      </w:r>
    </w:p>
    <w:p w14:paraId="2B78417F" w14:textId="1D571FAB" w:rsidR="002B1E3E" w:rsidRPr="002B1E3E" w:rsidRDefault="002B1E3E" w:rsidP="00DC48AB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Wykresy</w:t>
      </w:r>
    </w:p>
    <w:p w14:paraId="63B9382B" w14:textId="2479C583" w:rsidR="002B1E3E" w:rsidRDefault="002B1E3E" w:rsidP="00DC48AB">
      <w:pPr>
        <w:pStyle w:val="Akapitzlist"/>
        <w:keepNext/>
        <w:numPr>
          <w:ilvl w:val="2"/>
          <w:numId w:val="1"/>
        </w:numPr>
        <w:spacing w:line="240" w:lineRule="auto"/>
        <w:ind w:left="1225" w:hanging="505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Zbiory A i B</w:t>
      </w:r>
    </w:p>
    <w:p w14:paraId="61648D5E" w14:textId="113D7515" w:rsidR="00233114" w:rsidRDefault="002B1E3E" w:rsidP="002B1E3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Zaskakujące, że żaden z punktów na obu wykresach nie ma koloru zielonego. Możliwym powodem takiego stanu rzeczy jest bardzo mała tolerancja dla zera w obu zbiorach oraz mała liczba punktów w stosunku do powierzchni wykresu B</w:t>
      </w:r>
      <w:r w:rsidR="00056F86">
        <w:rPr>
          <w:rStyle w:val="Pogrubienie"/>
          <w:rFonts w:eastAsiaTheme="minorEastAsia"/>
          <w:b w:val="0"/>
          <w:bCs w:val="0"/>
        </w:rPr>
        <w:br/>
      </w:r>
      <w:r>
        <w:rPr>
          <w:rStyle w:val="Pogrubienie"/>
          <w:rFonts w:eastAsiaTheme="minorEastAsia"/>
          <w:b w:val="0"/>
          <w:bCs w:val="0"/>
        </w:rPr>
        <w:t xml:space="preserve"> Z punktu widzenia rachunku prawdopodobieństwa szansa</w:t>
      </w:r>
      <w:r w:rsidR="00A25EB4">
        <w:rPr>
          <w:rStyle w:val="Pogrubienie"/>
          <w:rFonts w:eastAsiaTheme="minorEastAsia"/>
          <w:b w:val="0"/>
          <w:bCs w:val="0"/>
        </w:rPr>
        <w:t>, że losowo wybrany punkt z </w:t>
      </w:r>
      <w:r w:rsidR="00C33C6F">
        <w:rPr>
          <w:rStyle w:val="Pogrubienie"/>
          <w:rFonts w:eastAsiaTheme="minorEastAsia"/>
          <w:b w:val="0"/>
          <w:bCs w:val="0"/>
        </w:rPr>
        <w:t>prostokąta</w:t>
      </w:r>
      <w:r w:rsidR="00A25EB4">
        <w:rPr>
          <w:rStyle w:val="Pogrubienie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[-b, b]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2</m:t>
            </m:r>
          </m:sup>
        </m:sSup>
      </m:oMath>
      <w:r w:rsidR="00233114">
        <w:rPr>
          <w:rStyle w:val="Pogrubienie"/>
          <w:rFonts w:eastAsiaTheme="minorEastAsia"/>
          <w:b w:val="0"/>
          <w:bCs w:val="0"/>
        </w:rPr>
        <w:t xml:space="preserve"> </w:t>
      </w:r>
      <w:r w:rsidR="00C33C6F">
        <w:rPr>
          <w:rStyle w:val="Pogrubienie"/>
          <w:rFonts w:eastAsiaTheme="minorEastAsia"/>
          <w:b w:val="0"/>
          <w:bCs w:val="0"/>
        </w:rPr>
        <w:t xml:space="preserve">leży </w:t>
      </w:r>
      <w:r w:rsidR="00233114">
        <w:rPr>
          <w:rStyle w:val="Pogrubienie"/>
          <w:rFonts w:eastAsiaTheme="minorEastAsia"/>
          <w:b w:val="0"/>
          <w:bCs w:val="0"/>
        </w:rPr>
        <w:t>na prostej</w:t>
      </w:r>
      <w:r w:rsidR="00A25EB4">
        <w:rPr>
          <w:rStyle w:val="Pogrubienie"/>
          <w:rFonts w:eastAsiaTheme="minorEastAsia"/>
          <w:b w:val="0"/>
          <w:bCs w:val="0"/>
        </w:rPr>
        <w:t xml:space="preserve"> zadanej wektorem</w:t>
      </w:r>
      <w:r w:rsidR="0045459A">
        <w:rPr>
          <w:rStyle w:val="Pogrubienie"/>
          <w:rFonts w:eastAsiaTheme="minorEastAsia"/>
          <w:b w:val="0"/>
          <w:bCs w:val="0"/>
        </w:rPr>
        <w:t xml:space="preserve"> zaczepionym</w:t>
      </w:r>
      <w:r w:rsidR="00A25EB4">
        <w:rPr>
          <w:rStyle w:val="Pogrubienie"/>
          <w:rFonts w:eastAsiaTheme="minorEastAsia"/>
          <w:b w:val="0"/>
          <w:bCs w:val="0"/>
        </w:rPr>
        <w:t xml:space="preserve"> </w:t>
      </w:r>
      <m:oMath>
        <m:acc>
          <m:accPr>
            <m:chr m:val="⃗"/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Pogrubienie"/>
                <w:rFonts w:ascii="Cambria Math" w:eastAsiaTheme="minorEastAsia" w:hAnsi="Cambria Math"/>
              </w:rPr>
              <m:t>v</m:t>
            </m:r>
          </m:e>
        </m:acc>
      </m:oMath>
      <w:r w:rsidR="00A25EB4">
        <w:rPr>
          <w:rStyle w:val="Pogrubienie"/>
          <w:rFonts w:eastAsiaTheme="minorEastAsia"/>
          <w:b w:val="0"/>
          <w:bCs w:val="0"/>
        </w:rPr>
        <w:t> </w:t>
      </w:r>
      <w:r w:rsidR="00233114">
        <w:rPr>
          <w:rStyle w:val="Pogrubienie"/>
          <w:rFonts w:eastAsiaTheme="minorEastAsia"/>
          <w:b w:val="0"/>
          <w:bCs w:val="0"/>
        </w:rPr>
        <w:t>wynosi zaledwie</w:t>
      </w:r>
      <w:r w:rsidR="0045459A">
        <w:rPr>
          <w:rStyle w:val="Pogrubienie"/>
          <w:rFonts w:eastAsiaTheme="minorEastAsia"/>
          <w:b w:val="0"/>
          <w:bCs w:val="0"/>
        </w:rPr>
        <w:t>:</w:t>
      </w:r>
    </w:p>
    <w:p w14:paraId="6E9AFE91" w14:textId="282F0EF0" w:rsidR="002B1E3E" w:rsidRPr="00A25EB4" w:rsidRDefault="00000000" w:rsidP="002B1E3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m:oMathPara>
        <m:oMath>
          <m:f>
            <m:fPr>
              <m:ctrlPr>
                <w:rPr>
                  <w:rStyle w:val="Pogrubienie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Pogrubienie"/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Pogrubienie"/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Style w:val="Pogrubienie"/>
                  <w:rFonts w:ascii="Cambria Math" w:eastAsiaTheme="minorEastAsia" w:hAnsi="Cambria Math"/>
                </w:rPr>
                <m:t>ϵ|</m:t>
              </m:r>
              <m:acc>
                <m:accPr>
                  <m:chr m:val="⃗"/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Pogrubienie"/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Style w:val="Pogrubienie"/>
                  <w:rFonts w:ascii="Cambria Math" w:eastAsiaTheme="minorEastAsia" w:hAnsi="Cambria Math"/>
                </w:rPr>
                <m:t>|(</m:t>
              </m:r>
              <m:func>
                <m:funcP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ogrubienie"/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Pogrubienie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Style w:val="Pogrubienie"/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Style w:val="Pogrubienie"/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ogrubienie"/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Pogrubienie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Style w:val="Pogrubienie"/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Style w:val="Pogrubienie"/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Pogrubienie"/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Style w:val="Pogrubienie"/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Style w:val="Pogrubienie"/>
              <w:rFonts w:ascii="Cambria Math" w:eastAsiaTheme="minorEastAsia" w:hAnsi="Cambria Math"/>
            </w:rPr>
            <m:t>≅(Dla zbioru A :5,6×</m:t>
          </m:r>
          <m:sSup>
            <m:sSupPr>
              <m:ctrlPr>
                <w:rPr>
                  <w:rStyle w:val="Pogrubienie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Pogrubienie"/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Style w:val="Pogrubienie"/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Style w:val="Pogrubienie"/>
              <w:rFonts w:ascii="Cambria Math" w:eastAsiaTheme="minorEastAsia" w:hAnsi="Cambria Math"/>
            </w:rPr>
            <m:t>×ε)</m:t>
          </m:r>
        </m:oMath>
      </m:oMathPara>
    </w:p>
    <w:p w14:paraId="2CBA075A" w14:textId="1FDF7D05" w:rsidR="00A25EB4" w:rsidRPr="002B1E3E" w:rsidRDefault="00A25EB4" w:rsidP="002B1E3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więc w przypadku zbioru A jest o trzy rzędy wielkości mniejsze od tolerancji.</w:t>
      </w:r>
    </w:p>
    <w:p w14:paraId="310313A8" w14:textId="39130927" w:rsidR="002B1E3E" w:rsidRDefault="002B1E3E" w:rsidP="002B1E3E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C</w:t>
      </w:r>
    </w:p>
    <w:p w14:paraId="2A52E686" w14:textId="54A9855C" w:rsidR="00233114" w:rsidRPr="00233114" w:rsidRDefault="00233114" w:rsidP="00233114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Oględziny wykresu nie prowadzą do żadnych zaskakujących wniosków. Rozważana prosta i okrąg posiadają dwa punkty wspólne. Przy wziętym rozkładzie wykryto jeden, i to przy stosunkowo dużej tolerancji względem zera. Taki wynik znajduje uzasadnienie w</w:t>
      </w:r>
      <w:r w:rsidR="00CA531E">
        <w:rPr>
          <w:rStyle w:val="Pogrubienie"/>
          <w:rFonts w:eastAsiaTheme="minorEastAsia"/>
          <w:b w:val="0"/>
          <w:bCs w:val="0"/>
        </w:rPr>
        <w:t> </w:t>
      </w:r>
      <w:r>
        <w:rPr>
          <w:rStyle w:val="Pogrubienie"/>
          <w:rFonts w:eastAsiaTheme="minorEastAsia"/>
          <w:b w:val="0"/>
          <w:bCs w:val="0"/>
        </w:rPr>
        <w:t>fakcie, że punkty rozmieszczone są na okręgu stosunkowo rzadko</w:t>
      </w:r>
      <w:r w:rsidR="00CA531E">
        <w:rPr>
          <w:rStyle w:val="Pogrubienie"/>
          <w:rFonts w:eastAsiaTheme="minorEastAsia"/>
          <w:b w:val="0"/>
          <w:bCs w:val="0"/>
        </w:rPr>
        <w:t xml:space="preserve"> w porównaniu do tolerancji</w:t>
      </w:r>
      <w:r>
        <w:rPr>
          <w:rStyle w:val="Pogrubienie"/>
          <w:rFonts w:eastAsiaTheme="minorEastAsia"/>
          <w:b w:val="0"/>
          <w:bCs w:val="0"/>
        </w:rPr>
        <w:t>. Istotnie, punkty występują w</w:t>
      </w:r>
      <w:r w:rsidR="00CA531E">
        <w:rPr>
          <w:rStyle w:val="Pogrubienie"/>
          <w:rFonts w:eastAsiaTheme="minorEastAsia"/>
          <w:b w:val="0"/>
          <w:bCs w:val="0"/>
        </w:rPr>
        <w:t> zgrubnym przybliżeniu w </w:t>
      </w:r>
      <w:r>
        <w:rPr>
          <w:rStyle w:val="Pogrubienie"/>
          <w:rFonts w:eastAsiaTheme="minorEastAsia"/>
          <w:b w:val="0"/>
          <w:bCs w:val="0"/>
        </w:rPr>
        <w:t xml:space="preserve">średniej odległości </w:t>
      </w:r>
      <m:oMath>
        <m:f>
          <m:f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Pogrubienie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Pogrubienie"/>
                <w:rFonts w:ascii="Cambria Math" w:eastAsiaTheme="minorEastAsia" w:hAnsi="Cambria Math"/>
              </w:rPr>
              <m:t>5</m:t>
            </m:r>
          </m:den>
        </m:f>
        <m:r>
          <w:rPr>
            <w:rStyle w:val="Pogrubienie"/>
            <w:rFonts w:ascii="Cambria Math" w:eastAsiaTheme="minorEastAsia" w:hAnsi="Cambria Math"/>
          </w:rPr>
          <m:t>π≅0,62</m:t>
        </m:r>
      </m:oMath>
      <w:r>
        <w:rPr>
          <w:rStyle w:val="Pogrubienie"/>
          <w:rFonts w:eastAsiaTheme="minorEastAsia"/>
          <w:b w:val="0"/>
          <w:bCs w:val="0"/>
        </w:rPr>
        <w:t>.</w:t>
      </w:r>
    </w:p>
    <w:p w14:paraId="15857F01" w14:textId="386BF613" w:rsidR="002B1E3E" w:rsidRDefault="002B1E3E" w:rsidP="002B1E3E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D</w:t>
      </w:r>
    </w:p>
    <w:p w14:paraId="20CC0E0C" w14:textId="18F63060" w:rsidR="00CA531E" w:rsidRPr="00CA531E" w:rsidRDefault="00CA531E" w:rsidP="00CA531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Najbardziej daleko idące wnioski wyciągnąć można z obserwacji wykresu D. Obserwując w dużym powiększeniu położenia punktów poszczególnych kolorów można zauważyć, że w miarę oddalania się od początku i końca wektora AB, maleje jakość współliniowości generowanych punktów. Wynika to ze skończonej precyzji zapisu wektora kierunkowego. Mnożąc go przez coraz większy parametr, również o ograniczonej dokładności, traci się równoległość.</w:t>
      </w:r>
    </w:p>
    <w:p w14:paraId="2BB8B823" w14:textId="37AAA273" w:rsidR="002B1E3E" w:rsidRDefault="002B1E3E" w:rsidP="00CA0D2C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Tabele</w:t>
      </w:r>
    </w:p>
    <w:p w14:paraId="2826EBDF" w14:textId="1AC45032" w:rsidR="00CA531E" w:rsidRDefault="00CA531E" w:rsidP="00CA531E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Analiza wyników zgromadzonych w tabelach dostarcza wniosków przede wszystkim na temat wykresu D. Pozostałe tabele obrazują oczywiste własności </w:t>
      </w:r>
      <w:r w:rsidR="00CA0D2C">
        <w:rPr>
          <w:rStyle w:val="Pogrubienie"/>
          <w:rFonts w:eastAsiaTheme="minorEastAsia"/>
          <w:b w:val="0"/>
          <w:bCs w:val="0"/>
        </w:rPr>
        <w:t>zbiorów punktów wygenerowanych przyjętymi metodami.</w:t>
      </w:r>
    </w:p>
    <w:p w14:paraId="78454081" w14:textId="17E6A0FD" w:rsidR="00CA0D2C" w:rsidRPr="00026CAD" w:rsidRDefault="00CA0D2C" w:rsidP="00CA0D2C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026CAD">
        <w:rPr>
          <w:rStyle w:val="Pogrubienie"/>
          <w:rFonts w:eastAsiaTheme="minorEastAsia"/>
        </w:rPr>
        <w:t>Zbiory A i B</w:t>
      </w:r>
    </w:p>
    <w:p w14:paraId="05BAB72C" w14:textId="04DD55A8" w:rsidR="00CA0D2C" w:rsidRDefault="00CA0D2C" w:rsidP="00CA0D2C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Widać, że dla jednostajnie rozmieszczonych punktów i dostatecznie małej tolerancji, można poprowadzić prostą przez zbiór punktów w taki sposób, by żaden na niej nie leżał. Ma to związek z przytoczonym wcześniej znikomym prawdopodobieństwem znalezienia losowo wybranego punktu na wybranej prostej. Innymi słowy, dostatecznie </w:t>
      </w:r>
      <w:r>
        <w:rPr>
          <w:rStyle w:val="Pogrubienie"/>
          <w:rFonts w:eastAsiaTheme="minorEastAsia"/>
          <w:b w:val="0"/>
          <w:bCs w:val="0"/>
          <w:i/>
          <w:iCs/>
        </w:rPr>
        <w:t>cienka</w:t>
      </w:r>
      <w:r>
        <w:rPr>
          <w:rStyle w:val="Pogrubienie"/>
          <w:rFonts w:eastAsiaTheme="minorEastAsia"/>
          <w:b w:val="0"/>
          <w:bCs w:val="0"/>
        </w:rPr>
        <w:t xml:space="preserve"> prosta nie przechodzi przez niemal żaden punkt w rozkładzie jednostajnym, niezależnie od swojego kierunku.</w:t>
      </w:r>
    </w:p>
    <w:p w14:paraId="3A2BD12B" w14:textId="18D4C014" w:rsidR="00CA0D2C" w:rsidRPr="00026CAD" w:rsidRDefault="00CA0D2C" w:rsidP="00CA0D2C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026CAD">
        <w:rPr>
          <w:rStyle w:val="Pogrubienie"/>
          <w:rFonts w:eastAsiaTheme="minorEastAsia"/>
        </w:rPr>
        <w:t xml:space="preserve">Zbiór </w:t>
      </w:r>
      <w:r w:rsidR="003F7844" w:rsidRPr="00026CAD">
        <w:rPr>
          <w:rStyle w:val="Pogrubienie"/>
          <w:rFonts w:eastAsiaTheme="minorEastAsia"/>
        </w:rPr>
        <w:t>C</w:t>
      </w:r>
    </w:p>
    <w:p w14:paraId="2F85C784" w14:textId="13FF22F9" w:rsidR="00CA0D2C" w:rsidRDefault="00CA0D2C" w:rsidP="00CA0D2C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Brak zaskakujących obserwacji innych niż dokonane przy analizie wykresu. </w:t>
      </w:r>
      <w:r w:rsidR="003F7844">
        <w:rPr>
          <w:rStyle w:val="Pogrubienie"/>
          <w:rFonts w:eastAsiaTheme="minorEastAsia"/>
          <w:b w:val="0"/>
          <w:bCs w:val="0"/>
        </w:rPr>
        <w:t>Przy</w:t>
      </w:r>
      <w:r>
        <w:rPr>
          <w:rStyle w:val="Pogrubienie"/>
          <w:rFonts w:eastAsiaTheme="minorEastAsia"/>
          <w:b w:val="0"/>
          <w:bCs w:val="0"/>
        </w:rPr>
        <w:t xml:space="preserve"> dostatecznie dużej tolerancji</w:t>
      </w:r>
      <w:r w:rsidR="003F7844">
        <w:rPr>
          <w:rStyle w:val="Pogrubienie"/>
          <w:rFonts w:eastAsiaTheme="minorEastAsia"/>
          <w:b w:val="0"/>
          <w:bCs w:val="0"/>
        </w:rPr>
        <w:t xml:space="preserve"> jeden punkt okręgu został zakwalifikowany jako leżący na prostej.</w:t>
      </w:r>
    </w:p>
    <w:p w14:paraId="2E74201F" w14:textId="170ABE11" w:rsidR="00CA0D2C" w:rsidRPr="00026CAD" w:rsidRDefault="003F7844" w:rsidP="00CA0D2C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026CAD">
        <w:rPr>
          <w:rStyle w:val="Pogrubienie"/>
          <w:rFonts w:eastAsiaTheme="minorEastAsia"/>
        </w:rPr>
        <w:t>Zbiór D</w:t>
      </w:r>
    </w:p>
    <w:p w14:paraId="122A4CEC" w14:textId="19FAE34B" w:rsidR="003F7844" w:rsidRPr="003F7844" w:rsidRDefault="003F7844" w:rsidP="003F7844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Tabela obrazuje ciekawą zależność – obliczanie wyznacznika macierzy rzędu 2 </w:t>
      </w:r>
      <w:r>
        <w:rPr>
          <w:rStyle w:val="Pogrubienie"/>
          <w:rFonts w:eastAsiaTheme="minorEastAsia"/>
          <w:b w:val="0"/>
          <w:bCs w:val="0"/>
          <w:i/>
          <w:iCs/>
        </w:rPr>
        <w:t>szybciej</w:t>
      </w:r>
      <w:r>
        <w:rPr>
          <w:rStyle w:val="Pogrubienie"/>
          <w:rFonts w:eastAsiaTheme="minorEastAsia"/>
          <w:b w:val="0"/>
          <w:bCs w:val="0"/>
        </w:rPr>
        <w:t xml:space="preserve"> prowadzi do niekwalifikowania punktów jako leżące na prostej.</w:t>
      </w:r>
      <w:r w:rsidR="00EA4F76">
        <w:rPr>
          <w:rStyle w:val="Pogrubienie"/>
          <w:rFonts w:eastAsiaTheme="minorEastAsia"/>
          <w:b w:val="0"/>
          <w:bCs w:val="0"/>
        </w:rPr>
        <w:br/>
        <w:t>Ponadto, samodzielnie implementowane wyznaczniki dla większego zakresu tolerancji kwalifikują więcej punktów jako leżące na prostej niż wyznaczniki biblioteczne.</w:t>
      </w:r>
    </w:p>
    <w:p w14:paraId="7397B0FE" w14:textId="19889A46" w:rsidR="002B1E3E" w:rsidRDefault="002B1E3E" w:rsidP="007C6446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Wnioski na temat tolerancji</w:t>
      </w:r>
    </w:p>
    <w:p w14:paraId="28933EB5" w14:textId="65DD1016" w:rsidR="003F7844" w:rsidRPr="003F7844" w:rsidRDefault="003F7844" w:rsidP="007C6446">
      <w:pPr>
        <w:pStyle w:val="Akapitzlist"/>
        <w:keepLines/>
        <w:spacing w:line="240" w:lineRule="auto"/>
        <w:ind w:left="79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Tabela do zbioru D dostarcza podstaw by sądzić, że tolerancja </w:t>
      </w:r>
      <w:r>
        <w:rPr>
          <w:rStyle w:val="Pogrubienie"/>
          <w:rFonts w:eastAsiaTheme="minorEastAsia"/>
          <w:b w:val="0"/>
          <w:bCs w:val="0"/>
          <w:i/>
          <w:iCs/>
        </w:rPr>
        <w:t>optymalna</w:t>
      </w:r>
      <w:r>
        <w:rPr>
          <w:rStyle w:val="Pogrubienie"/>
          <w:rFonts w:eastAsiaTheme="minorEastAsia"/>
          <w:b w:val="0"/>
          <w:bCs w:val="0"/>
        </w:rPr>
        <w:t xml:space="preserve">, tzn. taka, dla której każda z metod liczenia wyznacznika daje zbliżone rezultaty, przypada w przedziale </w:t>
      </w:r>
      <m:oMath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-9</m:t>
            </m:r>
          </m:sup>
        </m:sSup>
        <m:r>
          <w:rPr>
            <w:rStyle w:val="Pogrubienie"/>
            <w:rFonts w:ascii="Cambria Math" w:eastAsiaTheme="minorEastAsia" w:hAnsi="Cambria Math"/>
          </w:rPr>
          <m:t>÷</m:t>
        </m:r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-13</m:t>
            </m:r>
          </m:sup>
        </m:sSup>
      </m:oMath>
      <w:r>
        <w:rPr>
          <w:rStyle w:val="Pogrubienie"/>
          <w:rFonts w:eastAsiaTheme="minorEastAsia"/>
          <w:b w:val="0"/>
          <w:bCs w:val="0"/>
        </w:rPr>
        <w:t>. W przypadku zbiorów A i B przyjęcie wysokiej tolerancji prowadzi do sklasyfikowania od kilku do kilkudziesięciu punktów leżących na prostej, co jest ilością znikomą w porównaniu z licznościami zbiorów. Znaczenie tolerancji dla zbioru C również jest marginalne.</w:t>
      </w:r>
    </w:p>
    <w:p w14:paraId="7C35E6E3" w14:textId="69042690" w:rsidR="002B1E3E" w:rsidRDefault="002B1E3E" w:rsidP="002B1E3E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Wnioski na temat metody obliczania wyznacznika</w:t>
      </w:r>
    </w:p>
    <w:p w14:paraId="5F486057" w14:textId="5B329CA3" w:rsidR="00D02E45" w:rsidRDefault="00026CAD" w:rsidP="00026C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W tabelach dla zbiorów A, B i C widać, że wybór metody obliczania wyznacznika jest całkowicie nieistotny. Zauważalne, istotne różnice pojawiają się dopiero w przypadku zbioru D.</w:t>
      </w:r>
      <w:r w:rsidR="00EA4F76">
        <w:rPr>
          <w:rStyle w:val="Pogrubienie"/>
          <w:rFonts w:eastAsiaTheme="minorEastAsia"/>
          <w:b w:val="0"/>
          <w:bCs w:val="0"/>
        </w:rPr>
        <w:t xml:space="preserve"> Można zaobserwować, że </w:t>
      </w:r>
      <w:r w:rsidR="00D02E45">
        <w:rPr>
          <w:rStyle w:val="Pogrubienie"/>
          <w:rFonts w:eastAsiaTheme="minorEastAsia"/>
          <w:b w:val="0"/>
          <w:bCs w:val="0"/>
        </w:rPr>
        <w:t xml:space="preserve">co do zasady wyznaczniki 2x2 </w:t>
      </w:r>
      <w:r w:rsidR="00D02E45">
        <w:rPr>
          <w:rStyle w:val="Pogrubienie"/>
          <w:rFonts w:eastAsiaTheme="minorEastAsia"/>
          <w:b w:val="0"/>
          <w:bCs w:val="0"/>
          <w:i/>
          <w:iCs/>
        </w:rPr>
        <w:t>szybciej</w:t>
      </w:r>
      <w:r w:rsidR="00D02E45">
        <w:rPr>
          <w:rStyle w:val="Pogrubienie"/>
          <w:rFonts w:eastAsiaTheme="minorEastAsia"/>
          <w:b w:val="0"/>
          <w:bCs w:val="0"/>
        </w:rPr>
        <w:t>, wraz ze spadkiem tolerancji, przestają klasyfikować punkty jako leżące na prostej, niż wyznaczniki 3x3, które jeszcze przez kilka rzędów wielkości klasyfikują wszystkie 1000 punktów jako współliniowe z AB.</w:t>
      </w:r>
      <w:r w:rsidR="00D02E45">
        <w:rPr>
          <w:rStyle w:val="Pogrubienie"/>
          <w:rFonts w:eastAsiaTheme="minorEastAsia"/>
          <w:b w:val="0"/>
          <w:bCs w:val="0"/>
        </w:rPr>
        <w:br/>
        <w:t xml:space="preserve">Istotną różnicą pomiędzy wyznacznikami bibliotecznymi i własnymi jest liczba punktów klasyfikowanych dla najmniejszych tolerancji – wyznaczniki własne wskazują na współliniowość kilkuset punktów, podczas gdy biblioteczne dają odpowiedź 0. </w:t>
      </w:r>
      <w:r w:rsidR="00D02E45">
        <w:rPr>
          <w:rStyle w:val="Pogrubienie"/>
          <w:rFonts w:eastAsiaTheme="minorEastAsia"/>
          <w:b w:val="0"/>
          <w:bCs w:val="0"/>
        </w:rPr>
        <w:br/>
        <w:t>Ciekawą zależność wykazuje rozkład punktów po poszczególnych stronach prostej, w zależności od użytej metody obliczania wyznacznika – podział dla bibliotecznego wyznacznika 2x2 jest skrajnie niezrównoważony, bibliotecznego wyznacznika 3x3 wprost przeciwnie – niemal idealnie równomierny. Wyznaczniki implementowane samodzielnie nie wykazują takich różnic – w obu przypadkach równomierność danych jest umiarkowanie zaburzona.</w:t>
      </w:r>
    </w:p>
    <w:p w14:paraId="38958596" w14:textId="28C90731" w:rsidR="00026CAD" w:rsidRPr="00D02E45" w:rsidRDefault="00D02E45" w:rsidP="00D02E45">
      <w:pPr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br w:type="page"/>
      </w:r>
    </w:p>
    <w:p w14:paraId="66833B51" w14:textId="4FC59051" w:rsidR="00D02E45" w:rsidRDefault="00D02E45" w:rsidP="00D02E45">
      <w:pPr>
        <w:pStyle w:val="Akapitzlist"/>
        <w:numPr>
          <w:ilvl w:val="0"/>
          <w:numId w:val="1"/>
        </w:numPr>
        <w:spacing w:line="240" w:lineRule="auto"/>
        <w:rPr>
          <w:rStyle w:val="Pogrubienie"/>
          <w:rFonts w:eastAsiaTheme="minorEastAsia"/>
        </w:rPr>
      </w:pPr>
      <w:r w:rsidRPr="00D02E45">
        <w:rPr>
          <w:rStyle w:val="Pogrubienie"/>
          <w:rFonts w:eastAsiaTheme="minorEastAsia"/>
        </w:rPr>
        <w:lastRenderedPageBreak/>
        <w:t>Dodatek I: Tabele</w:t>
      </w:r>
    </w:p>
    <w:p w14:paraId="693E4DA4" w14:textId="568B471B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t>Zbiór A</w:t>
      </w:r>
    </w:p>
    <w:p w14:paraId="243E71F0" w14:textId="6ECF67EB" w:rsidR="00D403F3" w:rsidRDefault="00D403F3" w:rsidP="00D403F3">
      <w:pPr>
        <w:pStyle w:val="Legenda"/>
        <w:keepNext/>
        <w:jc w:val="center"/>
      </w:pPr>
      <w:r>
        <w:t xml:space="preserve">Tabela </w:t>
      </w:r>
      <w:fldSimple w:instr=" SEQ Tabela \* ARABIC ">
        <w:r w:rsidR="00336A8C">
          <w:rPr>
            <w:noProof/>
          </w:rPr>
          <w:t>1</w:t>
        </w:r>
      </w:fldSimple>
      <w:r>
        <w:t xml:space="preserve"> - Dane dla zbioru A</w:t>
      </w:r>
    </w:p>
    <w:p w14:paraId="3833CB53" w14:textId="3900CE44" w:rsid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EF5D12E" wp14:editId="596BFF03">
            <wp:extent cx="5486400" cy="2884714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90" cy="28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1FC1" w14:textId="1F22FA0C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t>Zbiór B</w:t>
      </w:r>
    </w:p>
    <w:p w14:paraId="4CAB7540" w14:textId="1F93663C" w:rsidR="00D403F3" w:rsidRDefault="00D403F3" w:rsidP="00D403F3">
      <w:pPr>
        <w:pStyle w:val="Legenda"/>
        <w:keepNext/>
        <w:jc w:val="center"/>
      </w:pPr>
      <w:r>
        <w:t xml:space="preserve">Tabela </w:t>
      </w:r>
      <w:fldSimple w:instr=" SEQ Tabela \* ARABIC ">
        <w:r w:rsidR="00336A8C">
          <w:rPr>
            <w:noProof/>
          </w:rPr>
          <w:t>2</w:t>
        </w:r>
      </w:fldSimple>
      <w:r>
        <w:t xml:space="preserve"> - </w:t>
      </w:r>
      <w:r w:rsidRPr="00E77ABB">
        <w:t xml:space="preserve">Dane dla zbioru </w:t>
      </w:r>
      <w:r>
        <w:t>B</w:t>
      </w:r>
    </w:p>
    <w:p w14:paraId="1BDF5DAD" w14:textId="3C66B663" w:rsidR="00E86194" w:rsidRPr="00E86194" w:rsidRDefault="00F07AC8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4B6FC1E4" wp14:editId="145B264B">
            <wp:extent cx="5495925" cy="2892752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22" cy="28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8A4" w14:textId="122FA7D0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lastRenderedPageBreak/>
        <w:t>Zbiór C</w:t>
      </w:r>
    </w:p>
    <w:p w14:paraId="1C728E08" w14:textId="42B0FAA9" w:rsidR="00D403F3" w:rsidRDefault="00D403F3" w:rsidP="00D403F3">
      <w:pPr>
        <w:pStyle w:val="Legenda"/>
        <w:keepNext/>
        <w:jc w:val="center"/>
      </w:pPr>
      <w:r>
        <w:t xml:space="preserve">Tabela </w:t>
      </w:r>
      <w:fldSimple w:instr=" SEQ Tabela \* ARABIC ">
        <w:r w:rsidR="00336A8C">
          <w:rPr>
            <w:noProof/>
          </w:rPr>
          <w:t>3</w:t>
        </w:r>
      </w:fldSimple>
      <w:r>
        <w:t xml:space="preserve"> </w:t>
      </w:r>
      <w:r w:rsidRPr="000D1841">
        <w:t xml:space="preserve">- Dane dla zbioru </w:t>
      </w:r>
      <w:r>
        <w:t>C</w:t>
      </w:r>
    </w:p>
    <w:p w14:paraId="4945A011" w14:textId="200E501C" w:rsid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0240ADA" wp14:editId="0113BAA7">
            <wp:extent cx="5760720" cy="302704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60BA" w14:textId="3FC1C8E6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t>Zbiór D</w:t>
      </w:r>
    </w:p>
    <w:p w14:paraId="0F48A8BD" w14:textId="1A7E56ED" w:rsidR="00D403F3" w:rsidRDefault="00D403F3" w:rsidP="00D403F3">
      <w:pPr>
        <w:pStyle w:val="Legenda"/>
        <w:keepNext/>
        <w:jc w:val="center"/>
      </w:pPr>
      <w:r>
        <w:t xml:space="preserve">Tabela </w:t>
      </w:r>
      <w:fldSimple w:instr=" SEQ Tabela \* ARABIC ">
        <w:r w:rsidR="00336A8C">
          <w:rPr>
            <w:noProof/>
          </w:rPr>
          <w:t>4</w:t>
        </w:r>
      </w:fldSimple>
      <w:r>
        <w:t xml:space="preserve"> </w:t>
      </w:r>
      <w:r w:rsidRPr="002F5DB0">
        <w:t xml:space="preserve">- Dane dla zbioru </w:t>
      </w:r>
      <w:r>
        <w:t>D</w:t>
      </w:r>
    </w:p>
    <w:p w14:paraId="0623E30A" w14:textId="037A6256" w:rsidR="00D02E45" w:rsidRP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91B3B5D" wp14:editId="5DC16C0F">
            <wp:extent cx="5760720" cy="3028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45" w:rsidRPr="00E86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239F"/>
    <w:multiLevelType w:val="multilevel"/>
    <w:tmpl w:val="6DC69C6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9BB7F87"/>
    <w:multiLevelType w:val="multilevel"/>
    <w:tmpl w:val="6DC69C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E2718D"/>
    <w:multiLevelType w:val="multilevel"/>
    <w:tmpl w:val="6DC69C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5947956">
    <w:abstractNumId w:val="2"/>
  </w:num>
  <w:num w:numId="2" w16cid:durableId="352345262">
    <w:abstractNumId w:val="1"/>
  </w:num>
  <w:num w:numId="3" w16cid:durableId="143447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0F"/>
    <w:rsid w:val="00026CAD"/>
    <w:rsid w:val="00056F86"/>
    <w:rsid w:val="000C2BBB"/>
    <w:rsid w:val="00162B0F"/>
    <w:rsid w:val="001B18D8"/>
    <w:rsid w:val="00233114"/>
    <w:rsid w:val="002B1E3E"/>
    <w:rsid w:val="00336A8C"/>
    <w:rsid w:val="003F7844"/>
    <w:rsid w:val="0045459A"/>
    <w:rsid w:val="004D1ECB"/>
    <w:rsid w:val="005C6223"/>
    <w:rsid w:val="007C6446"/>
    <w:rsid w:val="00867941"/>
    <w:rsid w:val="00902014"/>
    <w:rsid w:val="009C3998"/>
    <w:rsid w:val="00A25EB4"/>
    <w:rsid w:val="00AF5292"/>
    <w:rsid w:val="00B062AD"/>
    <w:rsid w:val="00B54F27"/>
    <w:rsid w:val="00BB2396"/>
    <w:rsid w:val="00C33C6F"/>
    <w:rsid w:val="00CA0D2C"/>
    <w:rsid w:val="00CA531E"/>
    <w:rsid w:val="00D02E45"/>
    <w:rsid w:val="00D403F3"/>
    <w:rsid w:val="00DC48AB"/>
    <w:rsid w:val="00E86194"/>
    <w:rsid w:val="00EA4F76"/>
    <w:rsid w:val="00F07AC8"/>
    <w:rsid w:val="00F43F87"/>
    <w:rsid w:val="00F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CD12"/>
  <w15:chartTrackingRefBased/>
  <w15:docId w15:val="{A25862AD-6595-43BB-959C-AC911AA7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FE707B"/>
    <w:rPr>
      <w:b/>
      <w:bCs/>
    </w:rPr>
  </w:style>
  <w:style w:type="paragraph" w:styleId="Akapitzlist">
    <w:name w:val="List Paragraph"/>
    <w:basedOn w:val="Normalny"/>
    <w:uiPriority w:val="34"/>
    <w:qFormat/>
    <w:rsid w:val="00FE707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0201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D403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927</Words>
  <Characters>5566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Smółka</dc:creator>
  <cp:keywords/>
  <dc:description/>
  <cp:lastModifiedBy>Jan Smółka</cp:lastModifiedBy>
  <cp:revision>20</cp:revision>
  <cp:lastPrinted>2022-10-27T17:17:00Z</cp:lastPrinted>
  <dcterms:created xsi:type="dcterms:W3CDTF">2022-10-22T17:49:00Z</dcterms:created>
  <dcterms:modified xsi:type="dcterms:W3CDTF">2022-10-27T17:18:00Z</dcterms:modified>
</cp:coreProperties>
</file>