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AD703" w14:textId="0A0A3743" w:rsidR="000C2BBB" w:rsidRPr="00FE707B" w:rsidRDefault="00FE707B" w:rsidP="004D1ECB">
      <w:pPr>
        <w:spacing w:line="240" w:lineRule="auto"/>
        <w:rPr>
          <w:rStyle w:val="Pogrubienie"/>
        </w:rPr>
      </w:pPr>
      <w:r w:rsidRPr="00FE707B">
        <w:rPr>
          <w:rStyle w:val="Pogrubienie"/>
        </w:rPr>
        <w:t>Algorytmy Geometryczne</w:t>
      </w:r>
    </w:p>
    <w:p w14:paraId="44F6AD94" w14:textId="4673A679" w:rsidR="00FE707B" w:rsidRPr="00FE707B" w:rsidRDefault="00FE707B" w:rsidP="004D1ECB">
      <w:pPr>
        <w:spacing w:line="240" w:lineRule="auto"/>
        <w:rPr>
          <w:rStyle w:val="Pogrubienie"/>
        </w:rPr>
      </w:pPr>
      <w:r w:rsidRPr="00FE707B">
        <w:rPr>
          <w:rStyle w:val="Pogrubienie"/>
        </w:rPr>
        <w:t>Laboratorium 1 – Sprawozdanie</w:t>
      </w:r>
    </w:p>
    <w:p w14:paraId="338D9C7F" w14:textId="1C7716C3" w:rsidR="00FE707B" w:rsidRPr="00FE707B" w:rsidRDefault="00FE707B" w:rsidP="004D1ECB">
      <w:pPr>
        <w:spacing w:after="480" w:line="240" w:lineRule="auto"/>
        <w:rPr>
          <w:rStyle w:val="Pogrubienie"/>
        </w:rPr>
      </w:pPr>
      <w:r w:rsidRPr="00FE707B">
        <w:rPr>
          <w:rStyle w:val="Pogrubienie"/>
        </w:rPr>
        <w:t>Jan Smółka</w:t>
      </w:r>
    </w:p>
    <w:p w14:paraId="1FB0ED17" w14:textId="6D1C825E" w:rsidR="00FE707B" w:rsidRDefault="00B062AD" w:rsidP="004D1ECB">
      <w:pPr>
        <w:pStyle w:val="Akapitzlist"/>
        <w:numPr>
          <w:ilvl w:val="0"/>
          <w:numId w:val="1"/>
        </w:numPr>
        <w:spacing w:line="240" w:lineRule="auto"/>
        <w:rPr>
          <w:rStyle w:val="Pogrubienie"/>
        </w:rPr>
      </w:pPr>
      <w:r>
        <w:rPr>
          <w:rStyle w:val="Pogrubienie"/>
        </w:rPr>
        <w:t>Sposób wykonania zadania</w:t>
      </w:r>
    </w:p>
    <w:p w14:paraId="2FA9B53B" w14:textId="3B437F38" w:rsidR="00FE707B" w:rsidRDefault="00FE707B" w:rsidP="004D1ECB">
      <w:pPr>
        <w:pStyle w:val="Akapitzlist"/>
        <w:numPr>
          <w:ilvl w:val="1"/>
          <w:numId w:val="1"/>
        </w:numPr>
        <w:spacing w:line="240" w:lineRule="auto"/>
        <w:rPr>
          <w:rStyle w:val="Pogrubienie"/>
        </w:rPr>
      </w:pPr>
      <w:r>
        <w:rPr>
          <w:rStyle w:val="Pogrubienie"/>
        </w:rPr>
        <w:t>Kod programu</w:t>
      </w:r>
    </w:p>
    <w:p w14:paraId="620285D0" w14:textId="791A8F8D" w:rsidR="00FE707B" w:rsidRDefault="00FE707B" w:rsidP="004D1ECB">
      <w:pPr>
        <w:pStyle w:val="Akapitzlist"/>
        <w:spacing w:line="240" w:lineRule="auto"/>
        <w:ind w:left="792"/>
        <w:rPr>
          <w:rStyle w:val="Pogrubienie"/>
          <w:b w:val="0"/>
          <w:bCs w:val="0"/>
        </w:rPr>
      </w:pPr>
      <w:r>
        <w:rPr>
          <w:rStyle w:val="Pogrubienie"/>
          <w:b w:val="0"/>
          <w:bCs w:val="0"/>
        </w:rPr>
        <w:t xml:space="preserve">Do rozwiązania zadania posłużyłem się proponowaną przez Prowadzących biblioteką graficzną. W pliku „zadanie_1.ipynb” znajdują się funkcje narzędzia graficznego, wraz z funkcjami realizującymi poszczególne </w:t>
      </w:r>
      <w:r w:rsidR="002B1E3E">
        <w:rPr>
          <w:rStyle w:val="Pogrubienie"/>
          <w:b w:val="0"/>
          <w:bCs w:val="0"/>
        </w:rPr>
        <w:t>punkty</w:t>
      </w:r>
      <w:r>
        <w:rPr>
          <w:rStyle w:val="Pogrubienie"/>
          <w:b w:val="0"/>
          <w:bCs w:val="0"/>
        </w:rPr>
        <w:t xml:space="preserve"> zadania.</w:t>
      </w:r>
    </w:p>
    <w:p w14:paraId="77FF7A24" w14:textId="4FBD6683" w:rsidR="00FE707B" w:rsidRDefault="00FE707B" w:rsidP="004D1ECB">
      <w:pPr>
        <w:pStyle w:val="Akapitzlist"/>
        <w:spacing w:line="240" w:lineRule="auto"/>
        <w:ind w:left="794"/>
        <w:rPr>
          <w:rStyle w:val="Pogrubienie"/>
          <w:b w:val="0"/>
          <w:bCs w:val="0"/>
        </w:rPr>
      </w:pPr>
      <w:r>
        <w:rPr>
          <w:rStyle w:val="Pogrubienie"/>
          <w:b w:val="0"/>
          <w:bCs w:val="0"/>
        </w:rPr>
        <w:t xml:space="preserve">Punkty każdego ze zbiorów generowane są za pomocą idiomatycznej konstrukcji języka </w:t>
      </w:r>
      <w:proofErr w:type="spellStart"/>
      <w:r>
        <w:rPr>
          <w:rStyle w:val="Pogrubienie"/>
          <w:b w:val="0"/>
          <w:bCs w:val="0"/>
        </w:rPr>
        <w:t>Python</w:t>
      </w:r>
      <w:proofErr w:type="spellEnd"/>
      <w:r>
        <w:rPr>
          <w:rStyle w:val="Pogrubienie"/>
          <w:b w:val="0"/>
          <w:bCs w:val="0"/>
        </w:rPr>
        <w:t xml:space="preserve"> – generatora. Każda z funkcji </w:t>
      </w:r>
      <w:proofErr w:type="spellStart"/>
      <w:r w:rsidRPr="00FE707B">
        <w:rPr>
          <w:rStyle w:val="Pogrubienie"/>
          <w:b w:val="0"/>
          <w:bCs w:val="0"/>
          <w:i/>
          <w:iCs/>
        </w:rPr>
        <w:t>square</w:t>
      </w:r>
      <w:proofErr w:type="spellEnd"/>
      <w:r w:rsidRPr="00FE707B">
        <w:rPr>
          <w:rStyle w:val="Pogrubienie"/>
          <w:b w:val="0"/>
          <w:bCs w:val="0"/>
          <w:i/>
          <w:iCs/>
        </w:rPr>
        <w:t xml:space="preserve">, </w:t>
      </w:r>
      <w:proofErr w:type="spellStart"/>
      <w:r w:rsidRPr="00FE707B">
        <w:rPr>
          <w:rStyle w:val="Pogrubienie"/>
          <w:b w:val="0"/>
          <w:bCs w:val="0"/>
          <w:i/>
          <w:iCs/>
        </w:rPr>
        <w:t>circle</w:t>
      </w:r>
      <w:proofErr w:type="spellEnd"/>
      <w:r w:rsidRPr="00FE707B">
        <w:rPr>
          <w:rStyle w:val="Pogrubienie"/>
          <w:b w:val="0"/>
          <w:bCs w:val="0"/>
          <w:i/>
          <w:iCs/>
        </w:rPr>
        <w:t xml:space="preserve"> i </w:t>
      </w:r>
      <w:proofErr w:type="spellStart"/>
      <w:r w:rsidRPr="00FE707B">
        <w:rPr>
          <w:rStyle w:val="Pogrubienie"/>
          <w:b w:val="0"/>
          <w:bCs w:val="0"/>
          <w:i/>
          <w:iCs/>
        </w:rPr>
        <w:t>line</w:t>
      </w:r>
      <w:proofErr w:type="spellEnd"/>
      <w:r>
        <w:rPr>
          <w:rStyle w:val="Pogrubienie"/>
          <w:b w:val="0"/>
          <w:bCs w:val="0"/>
          <w:i/>
          <w:iCs/>
        </w:rPr>
        <w:t xml:space="preserve"> </w:t>
      </w:r>
      <w:r>
        <w:rPr>
          <w:rStyle w:val="Pogrubienie"/>
          <w:b w:val="0"/>
          <w:bCs w:val="0"/>
        </w:rPr>
        <w:t>posiada swój generator punktów.</w:t>
      </w:r>
    </w:p>
    <w:p w14:paraId="301293FF" w14:textId="5B339BDE" w:rsidR="00FE707B" w:rsidRPr="00902014" w:rsidRDefault="00FE707B" w:rsidP="004D1ECB">
      <w:pPr>
        <w:pStyle w:val="Akapitzlist"/>
        <w:numPr>
          <w:ilvl w:val="1"/>
          <w:numId w:val="1"/>
        </w:numPr>
        <w:spacing w:line="240" w:lineRule="auto"/>
        <w:rPr>
          <w:rStyle w:val="Pogrubienie"/>
        </w:rPr>
      </w:pPr>
      <w:r w:rsidRPr="00902014">
        <w:rPr>
          <w:rStyle w:val="Pogrubienie"/>
        </w:rPr>
        <w:t>Metoda badania</w:t>
      </w:r>
    </w:p>
    <w:p w14:paraId="505B47C0" w14:textId="42D30DB4" w:rsidR="00902014" w:rsidRDefault="00FE707B" w:rsidP="004D1ECB">
      <w:pPr>
        <w:pStyle w:val="Akapitzlist"/>
        <w:spacing w:line="240" w:lineRule="auto"/>
        <w:ind w:left="792"/>
        <w:rPr>
          <w:rStyle w:val="Pogrubienie"/>
          <w:rFonts w:eastAsiaTheme="minorEastAsia"/>
          <w:b w:val="0"/>
          <w:bCs w:val="0"/>
        </w:rPr>
      </w:pPr>
      <w:r>
        <w:rPr>
          <w:rStyle w:val="Pogrubienie"/>
          <w:b w:val="0"/>
          <w:bCs w:val="0"/>
        </w:rPr>
        <w:t>Podział każdego ze zbioru punktów zbadano przy użyciu czterech metod obliczania wyznacznika macierzy: wyznacznika dwu- i trójwymiarowego, z biblioteki numerycznej oraz</w:t>
      </w:r>
      <w:r w:rsidR="00902014">
        <w:rPr>
          <w:rStyle w:val="Pogrubienie"/>
          <w:b w:val="0"/>
          <w:bCs w:val="0"/>
        </w:rPr>
        <w:t> </w:t>
      </w:r>
      <w:r>
        <w:rPr>
          <w:rStyle w:val="Pogrubienie"/>
          <w:b w:val="0"/>
          <w:bCs w:val="0"/>
        </w:rPr>
        <w:t>implementowanego samodzielnie.</w:t>
      </w:r>
      <w:r w:rsidR="00902014">
        <w:rPr>
          <w:rStyle w:val="Pogrubienie"/>
          <w:b w:val="0"/>
          <w:bCs w:val="0"/>
        </w:rPr>
        <w:t xml:space="preserve"> Zbadano również różne tolerancje dla wartości 0: kolejne badane dokładności tworzyły ciąg geometryczny o ilorazie </w:t>
      </w:r>
      <m:oMath>
        <m:f>
          <m:fPr>
            <m:ctrlPr>
              <w:rPr>
                <w:rStyle w:val="Pogrubienie"/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w:rPr>
                <w:rStyle w:val="Pogrubienie"/>
                <w:rFonts w:ascii="Cambria Math" w:hAnsi="Cambria Math"/>
              </w:rPr>
              <m:t>1</m:t>
            </m:r>
          </m:num>
          <m:den>
            <m:r>
              <w:rPr>
                <w:rStyle w:val="Pogrubienie"/>
                <w:rFonts w:ascii="Cambria Math" w:hAnsi="Cambria Math"/>
              </w:rPr>
              <m:t>10</m:t>
            </m:r>
          </m:den>
        </m:f>
      </m:oMath>
      <w:r w:rsidR="00902014">
        <w:rPr>
          <w:rStyle w:val="Pogrubienie"/>
          <w:rFonts w:eastAsiaTheme="minorEastAsia"/>
          <w:b w:val="0"/>
          <w:bCs w:val="0"/>
        </w:rPr>
        <w:t xml:space="preserve">, o wyrazach z zakresu </w:t>
      </w:r>
      <m:oMath>
        <m:r>
          <w:rPr>
            <w:rStyle w:val="Pogrubienie"/>
            <w:rFonts w:ascii="Cambria Math" w:eastAsiaTheme="minorEastAsia" w:hAnsi="Cambria Math"/>
          </w:rPr>
          <m:t xml:space="preserve">1 ÷ </m:t>
        </m:r>
        <m:sSup>
          <m:sSupPr>
            <m:ctrlPr>
              <w:rPr>
                <w:rStyle w:val="Pogrubienie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Pogrubienie"/>
                <w:rFonts w:ascii="Cambria Math" w:eastAsiaTheme="minorEastAsia" w:hAnsi="Cambria Math"/>
              </w:rPr>
              <m:t>10</m:t>
            </m:r>
          </m:e>
          <m:sup>
            <m:r>
              <w:rPr>
                <w:rStyle w:val="Pogrubienie"/>
                <w:rFonts w:ascii="Cambria Math" w:eastAsiaTheme="minorEastAsia" w:hAnsi="Cambria Math"/>
              </w:rPr>
              <m:t>-30</m:t>
            </m:r>
          </m:sup>
        </m:sSup>
      </m:oMath>
      <w:r w:rsidR="00902014">
        <w:rPr>
          <w:rStyle w:val="Pogrubienie"/>
          <w:rFonts w:eastAsiaTheme="minorEastAsia"/>
          <w:b w:val="0"/>
          <w:bCs w:val="0"/>
        </w:rPr>
        <w:t>. Otrzymane liczności podziałów zamieszczone są w tabelach dołączonych do sprawozdania.</w:t>
      </w:r>
    </w:p>
    <w:p w14:paraId="370BF56A" w14:textId="74EE3D69" w:rsidR="00902014" w:rsidRPr="00902014" w:rsidRDefault="00902014" w:rsidP="004D1ECB">
      <w:pPr>
        <w:pStyle w:val="Akapitzlist"/>
        <w:numPr>
          <w:ilvl w:val="1"/>
          <w:numId w:val="1"/>
        </w:numPr>
        <w:spacing w:line="240" w:lineRule="auto"/>
        <w:rPr>
          <w:rStyle w:val="Pogrubienie"/>
          <w:rFonts w:eastAsiaTheme="minorEastAsia"/>
        </w:rPr>
      </w:pPr>
      <w:r w:rsidRPr="00902014">
        <w:rPr>
          <w:rStyle w:val="Pogrubienie"/>
          <w:rFonts w:eastAsiaTheme="minorEastAsia"/>
        </w:rPr>
        <w:t>Wykresy</w:t>
      </w:r>
    </w:p>
    <w:p w14:paraId="2DA91EA7" w14:textId="57656156" w:rsidR="00B062AD" w:rsidRDefault="00902014" w:rsidP="00B062AD">
      <w:pPr>
        <w:pStyle w:val="Akapitzlist"/>
        <w:spacing w:line="240" w:lineRule="auto"/>
        <w:ind w:left="792"/>
        <w:rPr>
          <w:rStyle w:val="Pogrubienie"/>
          <w:rFonts w:eastAsiaTheme="minorEastAsia"/>
          <w:b w:val="0"/>
          <w:bCs w:val="0"/>
        </w:rPr>
      </w:pPr>
      <w:r>
        <w:rPr>
          <w:rStyle w:val="Pogrubienie"/>
          <w:rFonts w:eastAsiaTheme="minorEastAsia"/>
          <w:b w:val="0"/>
          <w:bCs w:val="0"/>
        </w:rPr>
        <w:t xml:space="preserve">Dla każdego zbioru punktów sporządzono jeden wykres, dla tolerancji </w:t>
      </w:r>
      <m:oMath>
        <m:sSup>
          <m:sSupPr>
            <m:ctrlPr>
              <w:rPr>
                <w:rStyle w:val="Pogrubienie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Pogrubienie"/>
                <w:rFonts w:ascii="Cambria Math" w:eastAsiaTheme="minorEastAsia" w:hAnsi="Cambria Math"/>
              </w:rPr>
              <m:t>10</m:t>
            </m:r>
          </m:e>
          <m:sup>
            <m:r>
              <w:rPr>
                <w:rStyle w:val="Pogrubienie"/>
                <w:rFonts w:ascii="Cambria Math" w:eastAsiaTheme="minorEastAsia" w:hAnsi="Cambria Math"/>
              </w:rPr>
              <m:t>-</m:t>
            </m:r>
            <m:r>
              <w:rPr>
                <w:rStyle w:val="Pogrubienie"/>
                <w:rFonts w:ascii="Cambria Math" w:eastAsiaTheme="minorEastAsia" w:hAnsi="Cambria Math"/>
              </w:rPr>
              <m:t>16</m:t>
            </m:r>
          </m:sup>
        </m:sSup>
      </m:oMath>
      <w:r>
        <w:rPr>
          <w:rStyle w:val="Pogrubienie"/>
          <w:rFonts w:eastAsiaTheme="minorEastAsia"/>
          <w:b w:val="0"/>
          <w:bCs w:val="0"/>
        </w:rPr>
        <w:t xml:space="preserve"> i dla własnej metody obliczania wyznacznika macierzy 3x3. Dane zgromadzone w tabelach wskazują na brak konieczności obrazowania większej liczby wyników.</w:t>
      </w:r>
      <w:r w:rsidR="00B062AD">
        <w:rPr>
          <w:rStyle w:val="Pogrubienie"/>
          <w:rFonts w:eastAsiaTheme="minorEastAsia"/>
          <w:b w:val="0"/>
          <w:bCs w:val="0"/>
        </w:rPr>
        <w:br/>
        <w:t>Punkty leżące po lewej stronie prostej zaznaczono na wykresach kolorem niebieskim, na prawo – czerwonym, a leżące na prostej – zielonym.</w:t>
      </w:r>
    </w:p>
    <w:p w14:paraId="1446C8E3" w14:textId="68D28776" w:rsidR="00B062AD" w:rsidRPr="002B1E3E" w:rsidRDefault="00B062AD" w:rsidP="00B062AD">
      <w:pPr>
        <w:pStyle w:val="Akapitzlist"/>
        <w:keepNext/>
        <w:numPr>
          <w:ilvl w:val="0"/>
          <w:numId w:val="1"/>
        </w:numPr>
        <w:spacing w:line="240" w:lineRule="auto"/>
        <w:ind w:left="357" w:hanging="357"/>
        <w:rPr>
          <w:rStyle w:val="Pogrubienie"/>
          <w:rFonts w:eastAsiaTheme="minorEastAsia"/>
        </w:rPr>
      </w:pPr>
      <w:r w:rsidRPr="002B1E3E">
        <w:rPr>
          <w:rStyle w:val="Pogrubienie"/>
          <w:rFonts w:eastAsiaTheme="minorEastAsia"/>
        </w:rPr>
        <w:t>Wyniki</w:t>
      </w:r>
    </w:p>
    <w:p w14:paraId="6FA3B559" w14:textId="2D8434EC" w:rsidR="00B062AD" w:rsidRPr="002B1E3E" w:rsidRDefault="00B062AD" w:rsidP="00B062AD">
      <w:pPr>
        <w:pStyle w:val="Akapitzlist"/>
        <w:keepNext/>
        <w:numPr>
          <w:ilvl w:val="1"/>
          <w:numId w:val="1"/>
        </w:numPr>
        <w:spacing w:line="240" w:lineRule="auto"/>
        <w:ind w:left="788" w:hanging="431"/>
        <w:rPr>
          <w:rStyle w:val="Pogrubienie"/>
          <w:rFonts w:eastAsiaTheme="minorEastAsia"/>
        </w:rPr>
      </w:pPr>
      <w:r w:rsidRPr="002B1E3E">
        <w:rPr>
          <w:rStyle w:val="Pogrubienie"/>
          <w:rFonts w:eastAsiaTheme="minorEastAsia"/>
        </w:rPr>
        <w:t>Zbiór A</w:t>
      </w:r>
    </w:p>
    <w:p w14:paraId="43EF2038" w14:textId="5981724A" w:rsidR="00B062AD" w:rsidRDefault="00B062AD" w:rsidP="00B062AD">
      <w:pPr>
        <w:pStyle w:val="Akapitzlist"/>
        <w:spacing w:line="240" w:lineRule="auto"/>
        <w:ind w:left="792"/>
        <w:rPr>
          <w:rStyle w:val="Pogrubienie"/>
          <w:rFonts w:eastAsiaTheme="minorEastAsia"/>
          <w:b w:val="0"/>
          <w:bCs w:val="0"/>
        </w:rPr>
      </w:pPr>
      <w:r>
        <w:rPr>
          <w:rFonts w:eastAsiaTheme="minorEastAsia"/>
          <w:noProof/>
        </w:rPr>
        <w:drawing>
          <wp:inline distT="0" distB="0" distL="0" distR="0" wp14:anchorId="62080A0A" wp14:editId="4F643BC2">
            <wp:extent cx="4981575" cy="373618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903" cy="373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783E" w14:textId="54DAE77C" w:rsidR="00B062AD" w:rsidRPr="002B1E3E" w:rsidRDefault="00B062AD" w:rsidP="00B062AD">
      <w:pPr>
        <w:pStyle w:val="Akapitzlist"/>
        <w:keepNext/>
        <w:numPr>
          <w:ilvl w:val="1"/>
          <w:numId w:val="1"/>
        </w:numPr>
        <w:spacing w:line="240" w:lineRule="auto"/>
        <w:ind w:left="788" w:hanging="431"/>
        <w:rPr>
          <w:rStyle w:val="Pogrubienie"/>
          <w:rFonts w:eastAsiaTheme="minorEastAsia"/>
        </w:rPr>
      </w:pPr>
      <w:r w:rsidRPr="002B1E3E">
        <w:rPr>
          <w:rStyle w:val="Pogrubienie"/>
          <w:rFonts w:eastAsiaTheme="minorEastAsia"/>
        </w:rPr>
        <w:lastRenderedPageBreak/>
        <w:t>Zbiór B</w:t>
      </w:r>
    </w:p>
    <w:p w14:paraId="6CEF60A1" w14:textId="31FD9DFE" w:rsidR="00B062AD" w:rsidRDefault="00B062AD" w:rsidP="00B062AD">
      <w:pPr>
        <w:pStyle w:val="Akapitzlist"/>
        <w:spacing w:line="240" w:lineRule="auto"/>
        <w:ind w:left="792"/>
        <w:rPr>
          <w:rStyle w:val="Pogrubienie"/>
          <w:rFonts w:eastAsiaTheme="minorEastAsia"/>
          <w:b w:val="0"/>
          <w:bCs w:val="0"/>
        </w:rPr>
      </w:pPr>
      <w:r>
        <w:rPr>
          <w:rFonts w:eastAsiaTheme="minorEastAsia"/>
          <w:noProof/>
        </w:rPr>
        <w:drawing>
          <wp:inline distT="0" distB="0" distL="0" distR="0" wp14:anchorId="58008748" wp14:editId="42CAB894">
            <wp:extent cx="5067300" cy="38004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E34D" w14:textId="096E8E28" w:rsidR="00B062AD" w:rsidRPr="002B1E3E" w:rsidRDefault="00B062AD" w:rsidP="00B062AD">
      <w:pPr>
        <w:pStyle w:val="Akapitzlist"/>
        <w:keepNext/>
        <w:numPr>
          <w:ilvl w:val="1"/>
          <w:numId w:val="1"/>
        </w:numPr>
        <w:spacing w:line="240" w:lineRule="auto"/>
        <w:ind w:left="788" w:hanging="431"/>
        <w:rPr>
          <w:rStyle w:val="Pogrubienie"/>
          <w:rFonts w:eastAsiaTheme="minorEastAsia"/>
        </w:rPr>
      </w:pPr>
      <w:r w:rsidRPr="002B1E3E">
        <w:rPr>
          <w:rStyle w:val="Pogrubienie"/>
          <w:rFonts w:eastAsiaTheme="minorEastAsia"/>
        </w:rPr>
        <w:t>Zbiór C</w:t>
      </w:r>
    </w:p>
    <w:p w14:paraId="715038DE" w14:textId="3BD84938" w:rsidR="00B062AD" w:rsidRDefault="00B062AD" w:rsidP="00B062AD">
      <w:pPr>
        <w:pStyle w:val="Akapitzlist"/>
        <w:spacing w:line="240" w:lineRule="auto"/>
        <w:ind w:left="792"/>
        <w:rPr>
          <w:rStyle w:val="Pogrubienie"/>
          <w:rFonts w:eastAsiaTheme="minorEastAsia"/>
          <w:b w:val="0"/>
          <w:bCs w:val="0"/>
        </w:rPr>
      </w:pPr>
      <w:r>
        <w:rPr>
          <w:rFonts w:eastAsiaTheme="minorEastAsia"/>
          <w:noProof/>
        </w:rPr>
        <w:drawing>
          <wp:inline distT="0" distB="0" distL="0" distR="0" wp14:anchorId="7DBF6073" wp14:editId="3EAD3560">
            <wp:extent cx="5054600" cy="3790951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676" cy="380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AB47" w14:textId="5A5372C6" w:rsidR="00B062AD" w:rsidRPr="002B1E3E" w:rsidRDefault="00B062AD" w:rsidP="00B062AD">
      <w:pPr>
        <w:pStyle w:val="Akapitzlist"/>
        <w:keepNext/>
        <w:numPr>
          <w:ilvl w:val="1"/>
          <w:numId w:val="1"/>
        </w:numPr>
        <w:spacing w:line="240" w:lineRule="auto"/>
        <w:ind w:left="788" w:hanging="431"/>
        <w:rPr>
          <w:rStyle w:val="Pogrubienie"/>
          <w:rFonts w:eastAsiaTheme="minorEastAsia"/>
        </w:rPr>
      </w:pPr>
      <w:r w:rsidRPr="002B1E3E">
        <w:rPr>
          <w:rStyle w:val="Pogrubienie"/>
          <w:rFonts w:eastAsiaTheme="minorEastAsia"/>
        </w:rPr>
        <w:lastRenderedPageBreak/>
        <w:t>Zbiór D</w:t>
      </w:r>
    </w:p>
    <w:p w14:paraId="4E66F457" w14:textId="7348A167" w:rsidR="00B062AD" w:rsidRDefault="00EA4F76" w:rsidP="00B062AD">
      <w:pPr>
        <w:pStyle w:val="Akapitzlist"/>
        <w:spacing w:line="240" w:lineRule="auto"/>
        <w:ind w:left="792"/>
        <w:rPr>
          <w:rStyle w:val="Pogrubienie"/>
          <w:rFonts w:eastAsiaTheme="minorEastAsia"/>
          <w:b w:val="0"/>
          <w:bCs w:val="0"/>
        </w:rPr>
      </w:pPr>
      <w:r>
        <w:rPr>
          <w:rFonts w:eastAsiaTheme="minorEastAsia"/>
          <w:noProof/>
        </w:rPr>
        <w:drawing>
          <wp:inline distT="0" distB="0" distL="0" distR="0" wp14:anchorId="4464E188" wp14:editId="4AC71467">
            <wp:extent cx="5153025" cy="3864769"/>
            <wp:effectExtent l="0" t="0" r="0" b="254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507" cy="387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24F5" w14:textId="43EB0DAB" w:rsidR="002B1E3E" w:rsidRPr="002B1E3E" w:rsidRDefault="002B1E3E" w:rsidP="002B1E3E">
      <w:pPr>
        <w:pStyle w:val="Akapitzlist"/>
        <w:numPr>
          <w:ilvl w:val="0"/>
          <w:numId w:val="1"/>
        </w:numPr>
        <w:spacing w:line="240" w:lineRule="auto"/>
        <w:rPr>
          <w:rStyle w:val="Pogrubienie"/>
          <w:rFonts w:eastAsiaTheme="minorEastAsia"/>
        </w:rPr>
      </w:pPr>
      <w:r w:rsidRPr="002B1E3E">
        <w:rPr>
          <w:rStyle w:val="Pogrubienie"/>
          <w:rFonts w:eastAsiaTheme="minorEastAsia"/>
        </w:rPr>
        <w:t>Analiza otrzymanych wyników</w:t>
      </w:r>
    </w:p>
    <w:p w14:paraId="2B78417F" w14:textId="1D571FAB" w:rsidR="002B1E3E" w:rsidRPr="002B1E3E" w:rsidRDefault="002B1E3E" w:rsidP="002B1E3E">
      <w:pPr>
        <w:pStyle w:val="Akapitzlist"/>
        <w:numPr>
          <w:ilvl w:val="1"/>
          <w:numId w:val="1"/>
        </w:numPr>
        <w:spacing w:line="240" w:lineRule="auto"/>
        <w:rPr>
          <w:rStyle w:val="Pogrubienie"/>
          <w:rFonts w:eastAsiaTheme="minorEastAsia"/>
        </w:rPr>
      </w:pPr>
      <w:r w:rsidRPr="002B1E3E">
        <w:rPr>
          <w:rStyle w:val="Pogrubienie"/>
          <w:rFonts w:eastAsiaTheme="minorEastAsia"/>
        </w:rPr>
        <w:t>Wykresy</w:t>
      </w:r>
    </w:p>
    <w:p w14:paraId="63B9382B" w14:textId="2479C583" w:rsidR="002B1E3E" w:rsidRDefault="002B1E3E" w:rsidP="002B1E3E">
      <w:pPr>
        <w:pStyle w:val="Akapitzlist"/>
        <w:numPr>
          <w:ilvl w:val="2"/>
          <w:numId w:val="1"/>
        </w:numPr>
        <w:spacing w:line="240" w:lineRule="auto"/>
        <w:rPr>
          <w:rStyle w:val="Pogrubienie"/>
          <w:rFonts w:eastAsiaTheme="minorEastAsia"/>
        </w:rPr>
      </w:pPr>
      <w:r w:rsidRPr="002B1E3E">
        <w:rPr>
          <w:rStyle w:val="Pogrubienie"/>
          <w:rFonts w:eastAsiaTheme="minorEastAsia"/>
        </w:rPr>
        <w:t>Zbiory A i B</w:t>
      </w:r>
    </w:p>
    <w:p w14:paraId="61648D5E" w14:textId="113D7515" w:rsidR="00233114" w:rsidRDefault="002B1E3E" w:rsidP="002B1E3E">
      <w:pPr>
        <w:pStyle w:val="Akapitzlist"/>
        <w:spacing w:line="240" w:lineRule="auto"/>
        <w:ind w:left="1224"/>
        <w:rPr>
          <w:rStyle w:val="Pogrubienie"/>
          <w:rFonts w:eastAsiaTheme="minorEastAsia"/>
          <w:b w:val="0"/>
          <w:bCs w:val="0"/>
        </w:rPr>
      </w:pPr>
      <w:r>
        <w:rPr>
          <w:rStyle w:val="Pogrubienie"/>
          <w:rFonts w:eastAsiaTheme="minorEastAsia"/>
          <w:b w:val="0"/>
          <w:bCs w:val="0"/>
        </w:rPr>
        <w:t>Zaskakujące, że żaden z punktów na obu wykresach nie ma koloru zielonego. Możliwym powodem takiego stanu rzeczy jest bardzo mała tolerancja dla zera w obu zbiorach oraz mała liczba punktów w stosunku do powierzchni wykresu B</w:t>
      </w:r>
      <w:r w:rsidR="00056F86">
        <w:rPr>
          <w:rStyle w:val="Pogrubienie"/>
          <w:rFonts w:eastAsiaTheme="minorEastAsia"/>
          <w:b w:val="0"/>
          <w:bCs w:val="0"/>
        </w:rPr>
        <w:br/>
      </w:r>
      <w:r>
        <w:rPr>
          <w:rStyle w:val="Pogrubienie"/>
          <w:rFonts w:eastAsiaTheme="minorEastAsia"/>
          <w:b w:val="0"/>
          <w:bCs w:val="0"/>
        </w:rPr>
        <w:t xml:space="preserve"> Z punktu widzenia rachunku prawdopodobieństwa szansa</w:t>
      </w:r>
      <w:r w:rsidR="00A25EB4">
        <w:rPr>
          <w:rStyle w:val="Pogrubienie"/>
          <w:rFonts w:eastAsiaTheme="minorEastAsia"/>
          <w:b w:val="0"/>
          <w:bCs w:val="0"/>
        </w:rPr>
        <w:t>, że losowo wybrany punkt z </w:t>
      </w:r>
      <w:r w:rsidR="00C33C6F">
        <w:rPr>
          <w:rStyle w:val="Pogrubienie"/>
          <w:rFonts w:eastAsiaTheme="minorEastAsia"/>
          <w:b w:val="0"/>
          <w:bCs w:val="0"/>
        </w:rPr>
        <w:t>prostokąta</w:t>
      </w:r>
      <w:r w:rsidR="00A25EB4">
        <w:rPr>
          <w:rStyle w:val="Pogrubienie"/>
          <w:rFonts w:eastAsiaTheme="minorEastAsia"/>
          <w:b w:val="0"/>
          <w:bCs w:val="0"/>
        </w:rPr>
        <w:t xml:space="preserve"> </w:t>
      </w:r>
      <m:oMath>
        <m:sSup>
          <m:sSupPr>
            <m:ctrlPr>
              <w:rPr>
                <w:rStyle w:val="Pogrubienie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Pogrubienie"/>
                <w:rFonts w:ascii="Cambria Math" w:eastAsiaTheme="minorEastAsia" w:hAnsi="Cambria Math"/>
              </w:rPr>
              <m:t>[-b, b]</m:t>
            </m:r>
          </m:e>
          <m:sup>
            <m:r>
              <w:rPr>
                <w:rStyle w:val="Pogrubienie"/>
                <w:rFonts w:ascii="Cambria Math" w:eastAsiaTheme="minorEastAsia" w:hAnsi="Cambria Math"/>
              </w:rPr>
              <m:t>2</m:t>
            </m:r>
          </m:sup>
        </m:sSup>
      </m:oMath>
      <w:r w:rsidR="00233114">
        <w:rPr>
          <w:rStyle w:val="Pogrubienie"/>
          <w:rFonts w:eastAsiaTheme="minorEastAsia"/>
          <w:b w:val="0"/>
          <w:bCs w:val="0"/>
        </w:rPr>
        <w:t xml:space="preserve"> </w:t>
      </w:r>
      <w:r w:rsidR="00C33C6F">
        <w:rPr>
          <w:rStyle w:val="Pogrubienie"/>
          <w:rFonts w:eastAsiaTheme="minorEastAsia"/>
          <w:b w:val="0"/>
          <w:bCs w:val="0"/>
        </w:rPr>
        <w:t xml:space="preserve">leży </w:t>
      </w:r>
      <w:r w:rsidR="00233114">
        <w:rPr>
          <w:rStyle w:val="Pogrubienie"/>
          <w:rFonts w:eastAsiaTheme="minorEastAsia"/>
          <w:b w:val="0"/>
          <w:bCs w:val="0"/>
        </w:rPr>
        <w:t>na prostej</w:t>
      </w:r>
      <w:r w:rsidR="00A25EB4">
        <w:rPr>
          <w:rStyle w:val="Pogrubienie"/>
          <w:rFonts w:eastAsiaTheme="minorEastAsia"/>
          <w:b w:val="0"/>
          <w:bCs w:val="0"/>
        </w:rPr>
        <w:t xml:space="preserve"> zadanej wektorem</w:t>
      </w:r>
      <w:r w:rsidR="0045459A">
        <w:rPr>
          <w:rStyle w:val="Pogrubienie"/>
          <w:rFonts w:eastAsiaTheme="minorEastAsia"/>
          <w:b w:val="0"/>
          <w:bCs w:val="0"/>
        </w:rPr>
        <w:t xml:space="preserve"> zaczepionym</w:t>
      </w:r>
      <w:r w:rsidR="00A25EB4">
        <w:rPr>
          <w:rStyle w:val="Pogrubienie"/>
          <w:rFonts w:eastAsiaTheme="minorEastAsia"/>
          <w:b w:val="0"/>
          <w:bCs w:val="0"/>
        </w:rPr>
        <w:t xml:space="preserve"> </w:t>
      </w:r>
      <m:oMath>
        <m:acc>
          <m:accPr>
            <m:chr m:val="⃗"/>
            <m:ctrlPr>
              <w:rPr>
                <w:rStyle w:val="Pogrubienie"/>
                <w:rFonts w:ascii="Cambria Math" w:eastAsiaTheme="minorEastAsia" w:hAnsi="Cambria Math"/>
                <w:b w:val="0"/>
                <w:bCs w:val="0"/>
                <w:i/>
              </w:rPr>
            </m:ctrlPr>
          </m:accPr>
          <m:e>
            <m:r>
              <w:rPr>
                <w:rStyle w:val="Pogrubienie"/>
                <w:rFonts w:ascii="Cambria Math" w:eastAsiaTheme="minorEastAsia" w:hAnsi="Cambria Math"/>
              </w:rPr>
              <m:t>v</m:t>
            </m:r>
          </m:e>
        </m:acc>
      </m:oMath>
      <w:r w:rsidR="00A25EB4">
        <w:rPr>
          <w:rStyle w:val="Pogrubienie"/>
          <w:rFonts w:eastAsiaTheme="minorEastAsia"/>
          <w:b w:val="0"/>
          <w:bCs w:val="0"/>
        </w:rPr>
        <w:t> </w:t>
      </w:r>
      <w:r w:rsidR="00233114">
        <w:rPr>
          <w:rStyle w:val="Pogrubienie"/>
          <w:rFonts w:eastAsiaTheme="minorEastAsia"/>
          <w:b w:val="0"/>
          <w:bCs w:val="0"/>
        </w:rPr>
        <w:t>wynosi zaledwie</w:t>
      </w:r>
      <w:r w:rsidR="0045459A">
        <w:rPr>
          <w:rStyle w:val="Pogrubienie"/>
          <w:rFonts w:eastAsiaTheme="minorEastAsia"/>
          <w:b w:val="0"/>
          <w:bCs w:val="0"/>
        </w:rPr>
        <w:t>:</w:t>
      </w:r>
    </w:p>
    <w:p w14:paraId="6E9AFE91" w14:textId="0F7E5B0B" w:rsidR="002B1E3E" w:rsidRPr="00A25EB4" w:rsidRDefault="00233114" w:rsidP="002B1E3E">
      <w:pPr>
        <w:pStyle w:val="Akapitzlist"/>
        <w:spacing w:line="240" w:lineRule="auto"/>
        <w:ind w:left="1224"/>
        <w:rPr>
          <w:rStyle w:val="Pogrubienie"/>
          <w:rFonts w:eastAsiaTheme="minorEastAsia"/>
          <w:b w:val="0"/>
          <w:bCs w:val="0"/>
        </w:rPr>
      </w:pPr>
      <m:oMathPara>
        <m:oMath>
          <m:f>
            <m:fPr>
              <m:ctrlPr>
                <w:rPr>
                  <w:rStyle w:val="Pogrubienie"/>
                  <w:rFonts w:ascii="Cambria Math" w:eastAsiaTheme="minorEastAsia" w:hAnsi="Cambria Math"/>
                  <w:b w:val="0"/>
                  <w:bCs w:val="0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Style w:val="Pogrubienie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radPr>
                <m:deg/>
                <m:e>
                  <m:r>
                    <w:rPr>
                      <w:rStyle w:val="Pogrubienie"/>
                      <w:rFonts w:ascii="Cambria Math" w:eastAsiaTheme="minorEastAsia" w:hAnsi="Cambria Math"/>
                    </w:rPr>
                    <m:t>2</m:t>
                  </m:r>
                </m:e>
              </m:rad>
              <m:r>
                <w:rPr>
                  <w:rStyle w:val="Pogrubienie"/>
                  <w:rFonts w:ascii="Cambria Math" w:eastAsiaTheme="minorEastAsia" w:hAnsi="Cambria Math"/>
                </w:rPr>
                <m:t>ϵ</m:t>
              </m:r>
              <m:r>
                <w:rPr>
                  <w:rStyle w:val="Pogrubienie"/>
                  <w:rFonts w:ascii="Cambria Math" w:eastAsiaTheme="minorEastAsia" w:hAnsi="Cambria Math"/>
                </w:rPr>
                <m:t>|</m:t>
              </m:r>
              <m:acc>
                <m:accPr>
                  <m:chr m:val="⃗"/>
                  <m:ctrlPr>
                    <w:rPr>
                      <w:rStyle w:val="Pogrubienie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accPr>
                <m:e>
                  <m:r>
                    <w:rPr>
                      <w:rStyle w:val="Pogrubienie"/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Style w:val="Pogrubienie"/>
                  <w:rFonts w:ascii="Cambria Math" w:eastAsiaTheme="minorEastAsia" w:hAnsi="Cambria Math"/>
                </w:rPr>
                <m:t>|(</m:t>
              </m:r>
              <m:func>
                <m:funcPr>
                  <m:ctrlPr>
                    <w:rPr>
                      <w:rStyle w:val="Pogrubienie"/>
                      <w:rFonts w:ascii="Cambria Math" w:eastAsiaTheme="minorEastAsia" w:hAnsi="Cambria Math"/>
                      <w:b w:val="0"/>
                      <w:bCs w:val="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Pogrubienie"/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Style w:val="Pogrubienie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Style w:val="Pogrubienie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Pogrubienie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Style w:val="Pogrubienie"/>
                              <w:rFonts w:ascii="Cambria Math" w:eastAsiaTheme="minorEastAsia" w:hAnsi="Cambria Math"/>
                            </w:rPr>
                            <m:t>b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Style w:val="Pogrubienie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Pogrubienie"/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Style w:val="Pogrubienie"/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den>
                      </m:f>
                      <m:r>
                        <w:rPr>
                          <w:rStyle w:val="Pogrubienie"/>
                          <w:rFonts w:ascii="Cambria Math" w:eastAsiaTheme="minorEastAsia" w:hAnsi="Cambria Math"/>
                        </w:rPr>
                        <m:t xml:space="preserve">, </m:t>
                      </m:r>
                      <m:f>
                        <m:fPr>
                          <m:ctrlPr>
                            <w:rPr>
                              <w:rStyle w:val="Pogrubienie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Style w:val="Pogrubienie"/>
                              <w:rFonts w:ascii="Cambria Math" w:eastAsiaTheme="minorEastAsia" w:hAnsi="Cambria Math"/>
                            </w:rPr>
                            <m:t>b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Style w:val="Pogrubienie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Pogrubienie"/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Style w:val="Pogrubienie"/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w:rPr>
                  <w:rStyle w:val="Pogrubienie"/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Style w:val="Pogrubienie"/>
                      <w:rFonts w:ascii="Cambria Math" w:eastAsiaTheme="minorEastAsia" w:hAnsi="Cambria Math"/>
                      <w:b w:val="0"/>
                      <w:bCs w:val="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Pogrubienie"/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Style w:val="Pogrubienie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Style w:val="Pogrubienie"/>
                          <w:rFonts w:ascii="Cambria Math" w:eastAsiaTheme="minorEastAsia" w:hAnsi="Cambria Math"/>
                          <w:b w:val="0"/>
                          <w:bCs w:val="0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Pogrubienie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Style w:val="Pogrubienie"/>
                              <w:rFonts w:ascii="Cambria Math" w:eastAsiaTheme="minorEastAsia" w:hAnsi="Cambria Math"/>
                            </w:rPr>
                            <m:t>-b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Style w:val="Pogrubienie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Pogrubienie"/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Style w:val="Pogrubienie"/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den>
                      </m:f>
                      <m:r>
                        <w:rPr>
                          <w:rStyle w:val="Pogrubienie"/>
                          <w:rFonts w:ascii="Cambria Math" w:eastAsiaTheme="minorEastAsia" w:hAnsi="Cambria Math"/>
                        </w:rPr>
                        <m:t xml:space="preserve">, </m:t>
                      </m:r>
                      <m:f>
                        <m:fPr>
                          <m:ctrlPr>
                            <w:rPr>
                              <w:rStyle w:val="Pogrubienie"/>
                              <w:rFonts w:ascii="Cambria Math" w:eastAsiaTheme="minorEastAsia" w:hAnsi="Cambria Math"/>
                              <w:b w:val="0"/>
                              <w:bCs w:val="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Style w:val="Pogrubienie"/>
                              <w:rFonts w:ascii="Cambria Math" w:eastAsiaTheme="minorEastAsia" w:hAnsi="Cambria Math"/>
                            </w:rPr>
                            <m:t>-b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Style w:val="Pogrubienie"/>
                                  <w:rFonts w:ascii="Cambria Math" w:eastAsiaTheme="minorEastAsia" w:hAnsi="Cambria Math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Pogrubienie"/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Style w:val="Pogrubienie"/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w:rPr>
                  <w:rStyle w:val="Pogrubienie"/>
                  <w:rFonts w:ascii="Cambria Math" w:eastAsiaTheme="minorEastAsia" w:hAnsi="Cambria Math"/>
                </w:rPr>
                <m:t>)</m:t>
              </m:r>
            </m:num>
            <m:den>
              <m:sSup>
                <m:sSupPr>
                  <m:ctrlPr>
                    <w:rPr>
                      <w:rStyle w:val="Pogrubienie"/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Pogrubienie"/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Style w:val="Pogrubienie"/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Style w:val="Pogrubienie"/>
              <w:rFonts w:ascii="Cambria Math" w:eastAsiaTheme="minorEastAsia" w:hAnsi="Cambria Math"/>
            </w:rPr>
            <m:t>≅</m:t>
          </m:r>
          <m:r>
            <w:rPr>
              <w:rStyle w:val="Pogrubienie"/>
              <w:rFonts w:ascii="Cambria Math" w:eastAsiaTheme="minorEastAsia" w:hAnsi="Cambria Math"/>
            </w:rPr>
            <m:t>(Dla zbioru A :</m:t>
          </m:r>
          <m:r>
            <w:rPr>
              <w:rStyle w:val="Pogrubienie"/>
              <w:rFonts w:ascii="Cambria Math" w:eastAsiaTheme="minorEastAsia" w:hAnsi="Cambria Math"/>
            </w:rPr>
            <m:t>2,8×</m:t>
          </m:r>
          <m:sSup>
            <m:sSupPr>
              <m:ctrlPr>
                <w:rPr>
                  <w:rStyle w:val="Pogrubienie"/>
                  <w:rFonts w:ascii="Cambria Math" w:eastAsiaTheme="minorEastAsia" w:hAnsi="Cambria Math"/>
                  <w:b w:val="0"/>
                  <w:bCs w:val="0"/>
                  <w:i/>
                </w:rPr>
              </m:ctrlPr>
            </m:sSupPr>
            <m:e>
              <m:r>
                <w:rPr>
                  <w:rStyle w:val="Pogrubienie"/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Style w:val="Pogrubienie"/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Style w:val="Pogrubienie"/>
              <w:rFonts w:ascii="Cambria Math" w:eastAsiaTheme="minorEastAsia" w:hAnsi="Cambria Math"/>
            </w:rPr>
            <m:t>×ε</m:t>
          </m:r>
          <m:r>
            <w:rPr>
              <w:rStyle w:val="Pogrubienie"/>
              <w:rFonts w:ascii="Cambria Math" w:eastAsiaTheme="minorEastAsia" w:hAnsi="Cambria Math"/>
            </w:rPr>
            <m:t>)</m:t>
          </m:r>
        </m:oMath>
      </m:oMathPara>
    </w:p>
    <w:p w14:paraId="2CBA075A" w14:textId="796C45A2" w:rsidR="00A25EB4" w:rsidRPr="002B1E3E" w:rsidRDefault="00A25EB4" w:rsidP="002B1E3E">
      <w:pPr>
        <w:pStyle w:val="Akapitzlist"/>
        <w:spacing w:line="240" w:lineRule="auto"/>
        <w:ind w:left="1224"/>
        <w:rPr>
          <w:rStyle w:val="Pogrubienie"/>
          <w:rFonts w:eastAsiaTheme="minorEastAsia"/>
          <w:b w:val="0"/>
          <w:bCs w:val="0"/>
        </w:rPr>
      </w:pPr>
      <w:r>
        <w:rPr>
          <w:rStyle w:val="Pogrubienie"/>
          <w:rFonts w:eastAsiaTheme="minorEastAsia"/>
          <w:b w:val="0"/>
          <w:bCs w:val="0"/>
        </w:rPr>
        <w:t>A więc w przypadku zbioru A jest o trzy rzędy wielkości mniejsze od tolerancji.</w:t>
      </w:r>
    </w:p>
    <w:p w14:paraId="310313A8" w14:textId="39130927" w:rsidR="002B1E3E" w:rsidRDefault="002B1E3E" w:rsidP="002B1E3E">
      <w:pPr>
        <w:pStyle w:val="Akapitzlist"/>
        <w:numPr>
          <w:ilvl w:val="2"/>
          <w:numId w:val="1"/>
        </w:numPr>
        <w:spacing w:line="240" w:lineRule="auto"/>
        <w:rPr>
          <w:rStyle w:val="Pogrubienie"/>
          <w:rFonts w:eastAsiaTheme="minorEastAsia"/>
        </w:rPr>
      </w:pPr>
      <w:r w:rsidRPr="002B1E3E">
        <w:rPr>
          <w:rStyle w:val="Pogrubienie"/>
          <w:rFonts w:eastAsiaTheme="minorEastAsia"/>
        </w:rPr>
        <w:t>Zbiór C</w:t>
      </w:r>
    </w:p>
    <w:p w14:paraId="2A52E686" w14:textId="54A9855C" w:rsidR="00233114" w:rsidRPr="00233114" w:rsidRDefault="00233114" w:rsidP="00233114">
      <w:pPr>
        <w:pStyle w:val="Akapitzlist"/>
        <w:spacing w:line="240" w:lineRule="auto"/>
        <w:ind w:left="1224"/>
        <w:rPr>
          <w:rStyle w:val="Pogrubienie"/>
          <w:rFonts w:eastAsiaTheme="minorEastAsia"/>
          <w:b w:val="0"/>
          <w:bCs w:val="0"/>
        </w:rPr>
      </w:pPr>
      <w:r>
        <w:rPr>
          <w:rStyle w:val="Pogrubienie"/>
          <w:rFonts w:eastAsiaTheme="minorEastAsia"/>
          <w:b w:val="0"/>
          <w:bCs w:val="0"/>
        </w:rPr>
        <w:t>Oględziny wykresu nie prowadzą do żadnych zaskakujących wniosków. Rozważana prosta i okrąg posiadają dwa punkty wspólne. Przy wziętym rozkładzie wykryto jeden, i to przy stosunkowo dużej tolerancji względem zera. Taki wynik znajduje uzasadnienie w</w:t>
      </w:r>
      <w:r w:rsidR="00CA531E">
        <w:rPr>
          <w:rStyle w:val="Pogrubienie"/>
          <w:rFonts w:eastAsiaTheme="minorEastAsia"/>
          <w:b w:val="0"/>
          <w:bCs w:val="0"/>
        </w:rPr>
        <w:t> </w:t>
      </w:r>
      <w:r>
        <w:rPr>
          <w:rStyle w:val="Pogrubienie"/>
          <w:rFonts w:eastAsiaTheme="minorEastAsia"/>
          <w:b w:val="0"/>
          <w:bCs w:val="0"/>
        </w:rPr>
        <w:t>fakcie, że punkty rozmieszczone są na okręgu stosunkowo rzadko</w:t>
      </w:r>
      <w:r w:rsidR="00CA531E">
        <w:rPr>
          <w:rStyle w:val="Pogrubienie"/>
          <w:rFonts w:eastAsiaTheme="minorEastAsia"/>
          <w:b w:val="0"/>
          <w:bCs w:val="0"/>
        </w:rPr>
        <w:t xml:space="preserve"> w porównaniu do tolerancji</w:t>
      </w:r>
      <w:r>
        <w:rPr>
          <w:rStyle w:val="Pogrubienie"/>
          <w:rFonts w:eastAsiaTheme="minorEastAsia"/>
          <w:b w:val="0"/>
          <w:bCs w:val="0"/>
        </w:rPr>
        <w:t>. Istotnie, punkty występują w</w:t>
      </w:r>
      <w:r w:rsidR="00CA531E">
        <w:rPr>
          <w:rStyle w:val="Pogrubienie"/>
          <w:rFonts w:eastAsiaTheme="minorEastAsia"/>
          <w:b w:val="0"/>
          <w:bCs w:val="0"/>
        </w:rPr>
        <w:t> zgrubnym przybliżeniu w </w:t>
      </w:r>
      <w:r>
        <w:rPr>
          <w:rStyle w:val="Pogrubienie"/>
          <w:rFonts w:eastAsiaTheme="minorEastAsia"/>
          <w:b w:val="0"/>
          <w:bCs w:val="0"/>
        </w:rPr>
        <w:t xml:space="preserve">średniej odległości </w:t>
      </w:r>
      <m:oMath>
        <m:f>
          <m:fPr>
            <m:ctrlPr>
              <w:rPr>
                <w:rStyle w:val="Pogrubienie"/>
                <w:rFonts w:ascii="Cambria Math" w:eastAsiaTheme="minorEastAsia" w:hAnsi="Cambria Math"/>
                <w:b w:val="0"/>
                <w:bCs w:val="0"/>
                <w:i/>
              </w:rPr>
            </m:ctrlPr>
          </m:fPr>
          <m:num>
            <m:r>
              <w:rPr>
                <w:rStyle w:val="Pogrubienie"/>
                <w:rFonts w:ascii="Cambria Math" w:eastAsiaTheme="minorEastAsia" w:hAnsi="Cambria Math"/>
              </w:rPr>
              <m:t>1</m:t>
            </m:r>
          </m:num>
          <m:den>
            <m:r>
              <w:rPr>
                <w:rStyle w:val="Pogrubienie"/>
                <w:rFonts w:ascii="Cambria Math" w:eastAsiaTheme="minorEastAsia" w:hAnsi="Cambria Math"/>
              </w:rPr>
              <m:t>5</m:t>
            </m:r>
          </m:den>
        </m:f>
        <m:r>
          <w:rPr>
            <w:rStyle w:val="Pogrubienie"/>
            <w:rFonts w:ascii="Cambria Math" w:eastAsiaTheme="minorEastAsia" w:hAnsi="Cambria Math"/>
          </w:rPr>
          <m:t>π≅0,62</m:t>
        </m:r>
      </m:oMath>
      <w:r>
        <w:rPr>
          <w:rStyle w:val="Pogrubienie"/>
          <w:rFonts w:eastAsiaTheme="minorEastAsia"/>
          <w:b w:val="0"/>
          <w:bCs w:val="0"/>
        </w:rPr>
        <w:t>.</w:t>
      </w:r>
    </w:p>
    <w:p w14:paraId="15857F01" w14:textId="386BF613" w:rsidR="002B1E3E" w:rsidRDefault="002B1E3E" w:rsidP="002B1E3E">
      <w:pPr>
        <w:pStyle w:val="Akapitzlist"/>
        <w:numPr>
          <w:ilvl w:val="2"/>
          <w:numId w:val="1"/>
        </w:numPr>
        <w:spacing w:line="240" w:lineRule="auto"/>
        <w:rPr>
          <w:rStyle w:val="Pogrubienie"/>
          <w:rFonts w:eastAsiaTheme="minorEastAsia"/>
        </w:rPr>
      </w:pPr>
      <w:r w:rsidRPr="002B1E3E">
        <w:rPr>
          <w:rStyle w:val="Pogrubienie"/>
          <w:rFonts w:eastAsiaTheme="minorEastAsia"/>
        </w:rPr>
        <w:t>Zbiór D</w:t>
      </w:r>
    </w:p>
    <w:p w14:paraId="20CC0E0C" w14:textId="18F63060" w:rsidR="00CA531E" w:rsidRPr="00CA531E" w:rsidRDefault="00CA531E" w:rsidP="00CA531E">
      <w:pPr>
        <w:pStyle w:val="Akapitzlist"/>
        <w:spacing w:line="240" w:lineRule="auto"/>
        <w:ind w:left="1224"/>
        <w:rPr>
          <w:rStyle w:val="Pogrubienie"/>
          <w:rFonts w:eastAsiaTheme="minorEastAsia"/>
          <w:b w:val="0"/>
          <w:bCs w:val="0"/>
        </w:rPr>
      </w:pPr>
      <w:r>
        <w:rPr>
          <w:rStyle w:val="Pogrubienie"/>
          <w:rFonts w:eastAsiaTheme="minorEastAsia"/>
          <w:b w:val="0"/>
          <w:bCs w:val="0"/>
        </w:rPr>
        <w:t>Najbardziej daleko idące wnioski wyciągnąć można z obserwacji wykresu D. Obserwując w dużym powiększeniu położenia punktów poszczególnych kolorów można zauważyć, że w miarę oddalania się od początku i końca wektora AB, maleje jakość współliniowości generowanych punktów. Wynika to ze skończonej precyzji zapisu wektora kierunkowego. Mnożąc go przez coraz większy parametr, również o ograniczonej dokładności, traci się równoległość.</w:t>
      </w:r>
    </w:p>
    <w:p w14:paraId="2BB8B823" w14:textId="37AAA273" w:rsidR="002B1E3E" w:rsidRDefault="002B1E3E" w:rsidP="00CA0D2C">
      <w:pPr>
        <w:pStyle w:val="Akapitzlist"/>
        <w:keepNext/>
        <w:numPr>
          <w:ilvl w:val="1"/>
          <w:numId w:val="1"/>
        </w:numPr>
        <w:spacing w:line="240" w:lineRule="auto"/>
        <w:ind w:left="788" w:hanging="431"/>
        <w:rPr>
          <w:rStyle w:val="Pogrubienie"/>
          <w:rFonts w:eastAsiaTheme="minorEastAsia"/>
        </w:rPr>
      </w:pPr>
      <w:r w:rsidRPr="002B1E3E">
        <w:rPr>
          <w:rStyle w:val="Pogrubienie"/>
          <w:rFonts w:eastAsiaTheme="minorEastAsia"/>
        </w:rPr>
        <w:lastRenderedPageBreak/>
        <w:t>Tabele</w:t>
      </w:r>
    </w:p>
    <w:p w14:paraId="2826EBDF" w14:textId="1AC45032" w:rsidR="00CA531E" w:rsidRDefault="00CA531E" w:rsidP="00CA531E">
      <w:pPr>
        <w:pStyle w:val="Akapitzlist"/>
        <w:spacing w:line="240" w:lineRule="auto"/>
        <w:ind w:left="792"/>
        <w:rPr>
          <w:rStyle w:val="Pogrubienie"/>
          <w:rFonts w:eastAsiaTheme="minorEastAsia"/>
          <w:b w:val="0"/>
          <w:bCs w:val="0"/>
        </w:rPr>
      </w:pPr>
      <w:r>
        <w:rPr>
          <w:rStyle w:val="Pogrubienie"/>
          <w:rFonts w:eastAsiaTheme="minorEastAsia"/>
          <w:b w:val="0"/>
          <w:bCs w:val="0"/>
        </w:rPr>
        <w:t xml:space="preserve">Analiza wyników zgromadzonych w tabelach dostarcza wniosków przede wszystkim na temat wykresu D. Pozostałe tabele obrazują oczywiste własności </w:t>
      </w:r>
      <w:r w:rsidR="00CA0D2C">
        <w:rPr>
          <w:rStyle w:val="Pogrubienie"/>
          <w:rFonts w:eastAsiaTheme="minorEastAsia"/>
          <w:b w:val="0"/>
          <w:bCs w:val="0"/>
        </w:rPr>
        <w:t>zbiorów punktów wygenerowanych przyjętymi metodami.</w:t>
      </w:r>
    </w:p>
    <w:p w14:paraId="78454081" w14:textId="17E6A0FD" w:rsidR="00CA0D2C" w:rsidRPr="00026CAD" w:rsidRDefault="00CA0D2C" w:rsidP="00CA0D2C">
      <w:pPr>
        <w:pStyle w:val="Akapitzlist"/>
        <w:numPr>
          <w:ilvl w:val="2"/>
          <w:numId w:val="1"/>
        </w:numPr>
        <w:spacing w:line="240" w:lineRule="auto"/>
        <w:rPr>
          <w:rStyle w:val="Pogrubienie"/>
          <w:rFonts w:eastAsiaTheme="minorEastAsia"/>
        </w:rPr>
      </w:pPr>
      <w:r w:rsidRPr="00026CAD">
        <w:rPr>
          <w:rStyle w:val="Pogrubienie"/>
          <w:rFonts w:eastAsiaTheme="minorEastAsia"/>
        </w:rPr>
        <w:t>Zbiory A i B</w:t>
      </w:r>
    </w:p>
    <w:p w14:paraId="05BAB72C" w14:textId="04DD55A8" w:rsidR="00CA0D2C" w:rsidRDefault="00CA0D2C" w:rsidP="00CA0D2C">
      <w:pPr>
        <w:pStyle w:val="Akapitzlist"/>
        <w:spacing w:line="240" w:lineRule="auto"/>
        <w:ind w:left="1224"/>
        <w:rPr>
          <w:rStyle w:val="Pogrubienie"/>
          <w:rFonts w:eastAsiaTheme="minorEastAsia"/>
          <w:b w:val="0"/>
          <w:bCs w:val="0"/>
        </w:rPr>
      </w:pPr>
      <w:r>
        <w:rPr>
          <w:rStyle w:val="Pogrubienie"/>
          <w:rFonts w:eastAsiaTheme="minorEastAsia"/>
          <w:b w:val="0"/>
          <w:bCs w:val="0"/>
        </w:rPr>
        <w:t xml:space="preserve">Widać, że dla jednostajnie rozmieszczonych punktów i dostatecznie małej tolerancji, można poprowadzić prostą przez zbiór punktów w taki sposób, by żaden na niej nie leżał. Ma to związek z przytoczonym wcześniej znikomym prawdopodobieństwem znalezienia losowo wybranego punktu na wybranej prostej. Innymi słowy, dostatecznie </w:t>
      </w:r>
      <w:r>
        <w:rPr>
          <w:rStyle w:val="Pogrubienie"/>
          <w:rFonts w:eastAsiaTheme="minorEastAsia"/>
          <w:b w:val="0"/>
          <w:bCs w:val="0"/>
          <w:i/>
          <w:iCs/>
        </w:rPr>
        <w:t>cienka</w:t>
      </w:r>
      <w:r>
        <w:rPr>
          <w:rStyle w:val="Pogrubienie"/>
          <w:rFonts w:eastAsiaTheme="minorEastAsia"/>
          <w:b w:val="0"/>
          <w:bCs w:val="0"/>
        </w:rPr>
        <w:t xml:space="preserve"> prosta nie przechodzi przez niemal żaden punkt w rozkładzie jednostajnym, niezależnie od swojego kierunku.</w:t>
      </w:r>
    </w:p>
    <w:p w14:paraId="3A2BD12B" w14:textId="18D4C014" w:rsidR="00CA0D2C" w:rsidRPr="00026CAD" w:rsidRDefault="00CA0D2C" w:rsidP="00CA0D2C">
      <w:pPr>
        <w:pStyle w:val="Akapitzlist"/>
        <w:numPr>
          <w:ilvl w:val="2"/>
          <w:numId w:val="1"/>
        </w:numPr>
        <w:spacing w:line="240" w:lineRule="auto"/>
        <w:rPr>
          <w:rStyle w:val="Pogrubienie"/>
          <w:rFonts w:eastAsiaTheme="minorEastAsia"/>
        </w:rPr>
      </w:pPr>
      <w:r w:rsidRPr="00026CAD">
        <w:rPr>
          <w:rStyle w:val="Pogrubienie"/>
          <w:rFonts w:eastAsiaTheme="minorEastAsia"/>
        </w:rPr>
        <w:t xml:space="preserve">Zbiór </w:t>
      </w:r>
      <w:r w:rsidR="003F7844" w:rsidRPr="00026CAD">
        <w:rPr>
          <w:rStyle w:val="Pogrubienie"/>
          <w:rFonts w:eastAsiaTheme="minorEastAsia"/>
        </w:rPr>
        <w:t>C</w:t>
      </w:r>
    </w:p>
    <w:p w14:paraId="2F85C784" w14:textId="13FF22F9" w:rsidR="00CA0D2C" w:rsidRDefault="00CA0D2C" w:rsidP="00CA0D2C">
      <w:pPr>
        <w:pStyle w:val="Akapitzlist"/>
        <w:spacing w:line="240" w:lineRule="auto"/>
        <w:ind w:left="1224"/>
        <w:rPr>
          <w:rStyle w:val="Pogrubienie"/>
          <w:rFonts w:eastAsiaTheme="minorEastAsia"/>
          <w:b w:val="0"/>
          <w:bCs w:val="0"/>
        </w:rPr>
      </w:pPr>
      <w:r>
        <w:rPr>
          <w:rStyle w:val="Pogrubienie"/>
          <w:rFonts w:eastAsiaTheme="minorEastAsia"/>
          <w:b w:val="0"/>
          <w:bCs w:val="0"/>
        </w:rPr>
        <w:t xml:space="preserve">Brak zaskakujących obserwacji innych niż dokonane przy analizie wykresu. </w:t>
      </w:r>
      <w:r w:rsidR="003F7844">
        <w:rPr>
          <w:rStyle w:val="Pogrubienie"/>
          <w:rFonts w:eastAsiaTheme="minorEastAsia"/>
          <w:b w:val="0"/>
          <w:bCs w:val="0"/>
        </w:rPr>
        <w:t>Przy</w:t>
      </w:r>
      <w:r>
        <w:rPr>
          <w:rStyle w:val="Pogrubienie"/>
          <w:rFonts w:eastAsiaTheme="minorEastAsia"/>
          <w:b w:val="0"/>
          <w:bCs w:val="0"/>
        </w:rPr>
        <w:t xml:space="preserve"> dostatecznie dużej tolerancji</w:t>
      </w:r>
      <w:r w:rsidR="003F7844">
        <w:rPr>
          <w:rStyle w:val="Pogrubienie"/>
          <w:rFonts w:eastAsiaTheme="minorEastAsia"/>
          <w:b w:val="0"/>
          <w:bCs w:val="0"/>
        </w:rPr>
        <w:t xml:space="preserve"> jeden punkt okręgu został zakwalifikowany jako leżący na prostej.</w:t>
      </w:r>
    </w:p>
    <w:p w14:paraId="2E74201F" w14:textId="170ABE11" w:rsidR="00CA0D2C" w:rsidRPr="00026CAD" w:rsidRDefault="003F7844" w:rsidP="00CA0D2C">
      <w:pPr>
        <w:pStyle w:val="Akapitzlist"/>
        <w:numPr>
          <w:ilvl w:val="2"/>
          <w:numId w:val="1"/>
        </w:numPr>
        <w:spacing w:line="240" w:lineRule="auto"/>
        <w:rPr>
          <w:rStyle w:val="Pogrubienie"/>
          <w:rFonts w:eastAsiaTheme="minorEastAsia"/>
        </w:rPr>
      </w:pPr>
      <w:r w:rsidRPr="00026CAD">
        <w:rPr>
          <w:rStyle w:val="Pogrubienie"/>
          <w:rFonts w:eastAsiaTheme="minorEastAsia"/>
        </w:rPr>
        <w:t>Zbiór D</w:t>
      </w:r>
    </w:p>
    <w:p w14:paraId="122A4CEC" w14:textId="19FAE34B" w:rsidR="003F7844" w:rsidRPr="003F7844" w:rsidRDefault="003F7844" w:rsidP="003F7844">
      <w:pPr>
        <w:pStyle w:val="Akapitzlist"/>
        <w:spacing w:line="240" w:lineRule="auto"/>
        <w:ind w:left="1224"/>
        <w:rPr>
          <w:rStyle w:val="Pogrubienie"/>
          <w:rFonts w:eastAsiaTheme="minorEastAsia"/>
          <w:b w:val="0"/>
          <w:bCs w:val="0"/>
        </w:rPr>
      </w:pPr>
      <w:r>
        <w:rPr>
          <w:rStyle w:val="Pogrubienie"/>
          <w:rFonts w:eastAsiaTheme="minorEastAsia"/>
          <w:b w:val="0"/>
          <w:bCs w:val="0"/>
        </w:rPr>
        <w:t xml:space="preserve">Tabela obrazuje ciekawą zależność – obliczanie wyznacznika macierzy rzędu 2 </w:t>
      </w:r>
      <w:r>
        <w:rPr>
          <w:rStyle w:val="Pogrubienie"/>
          <w:rFonts w:eastAsiaTheme="minorEastAsia"/>
          <w:b w:val="0"/>
          <w:bCs w:val="0"/>
          <w:i/>
          <w:iCs/>
        </w:rPr>
        <w:t>szybciej</w:t>
      </w:r>
      <w:r>
        <w:rPr>
          <w:rStyle w:val="Pogrubienie"/>
          <w:rFonts w:eastAsiaTheme="minorEastAsia"/>
          <w:b w:val="0"/>
          <w:bCs w:val="0"/>
        </w:rPr>
        <w:t xml:space="preserve"> prowadzi do niekwalifikowania punktów jako leżące na prostej.</w:t>
      </w:r>
      <w:r w:rsidR="00EA4F76">
        <w:rPr>
          <w:rStyle w:val="Pogrubienie"/>
          <w:rFonts w:eastAsiaTheme="minorEastAsia"/>
          <w:b w:val="0"/>
          <w:bCs w:val="0"/>
        </w:rPr>
        <w:br/>
        <w:t>Ponadto, samodzielnie implementowane wyznaczniki dla większego zakresu tolerancji kwalifikują więcej punktów jako leżące na prostej niż wyznaczniki biblioteczne.</w:t>
      </w:r>
    </w:p>
    <w:p w14:paraId="7397B0FE" w14:textId="19889A46" w:rsidR="002B1E3E" w:rsidRDefault="002B1E3E" w:rsidP="002B1E3E">
      <w:pPr>
        <w:pStyle w:val="Akapitzlist"/>
        <w:numPr>
          <w:ilvl w:val="1"/>
          <w:numId w:val="1"/>
        </w:numPr>
        <w:spacing w:line="240" w:lineRule="auto"/>
        <w:rPr>
          <w:rStyle w:val="Pogrubienie"/>
          <w:rFonts w:eastAsiaTheme="minorEastAsia"/>
        </w:rPr>
      </w:pPr>
      <w:r w:rsidRPr="002B1E3E">
        <w:rPr>
          <w:rStyle w:val="Pogrubienie"/>
          <w:rFonts w:eastAsiaTheme="minorEastAsia"/>
        </w:rPr>
        <w:t>Wnioski na temat tolerancji</w:t>
      </w:r>
    </w:p>
    <w:p w14:paraId="28933EB5" w14:textId="65DD1016" w:rsidR="003F7844" w:rsidRPr="003F7844" w:rsidRDefault="003F7844" w:rsidP="003F7844">
      <w:pPr>
        <w:pStyle w:val="Akapitzlist"/>
        <w:spacing w:line="240" w:lineRule="auto"/>
        <w:ind w:left="792"/>
        <w:rPr>
          <w:rStyle w:val="Pogrubienie"/>
          <w:rFonts w:eastAsiaTheme="minorEastAsia"/>
          <w:b w:val="0"/>
          <w:bCs w:val="0"/>
        </w:rPr>
      </w:pPr>
      <w:r>
        <w:rPr>
          <w:rStyle w:val="Pogrubienie"/>
          <w:rFonts w:eastAsiaTheme="minorEastAsia"/>
          <w:b w:val="0"/>
          <w:bCs w:val="0"/>
        </w:rPr>
        <w:t xml:space="preserve">Tabela do zbioru D dostarcza podstaw by sądzić, że tolerancja </w:t>
      </w:r>
      <w:r>
        <w:rPr>
          <w:rStyle w:val="Pogrubienie"/>
          <w:rFonts w:eastAsiaTheme="minorEastAsia"/>
          <w:b w:val="0"/>
          <w:bCs w:val="0"/>
          <w:i/>
          <w:iCs/>
        </w:rPr>
        <w:t>optymalna</w:t>
      </w:r>
      <w:r>
        <w:rPr>
          <w:rStyle w:val="Pogrubienie"/>
          <w:rFonts w:eastAsiaTheme="minorEastAsia"/>
          <w:b w:val="0"/>
          <w:bCs w:val="0"/>
        </w:rPr>
        <w:t xml:space="preserve">, tzn. taka, dla której każda z metod liczenia wyznacznika daje zbliżone rezultaty, przypada w przedziale </w:t>
      </w:r>
      <m:oMath>
        <m:sSup>
          <m:sSupPr>
            <m:ctrlPr>
              <w:rPr>
                <w:rStyle w:val="Pogrubienie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Pogrubienie"/>
                <w:rFonts w:ascii="Cambria Math" w:eastAsiaTheme="minorEastAsia" w:hAnsi="Cambria Math"/>
              </w:rPr>
              <m:t>10</m:t>
            </m:r>
          </m:e>
          <m:sup>
            <m:r>
              <w:rPr>
                <w:rStyle w:val="Pogrubienie"/>
                <w:rFonts w:ascii="Cambria Math" w:eastAsiaTheme="minorEastAsia" w:hAnsi="Cambria Math"/>
              </w:rPr>
              <m:t>-9</m:t>
            </m:r>
          </m:sup>
        </m:sSup>
        <m:r>
          <w:rPr>
            <w:rStyle w:val="Pogrubienie"/>
            <w:rFonts w:ascii="Cambria Math" w:eastAsiaTheme="minorEastAsia" w:hAnsi="Cambria Math"/>
          </w:rPr>
          <m:t>÷</m:t>
        </m:r>
        <m:sSup>
          <m:sSupPr>
            <m:ctrlPr>
              <w:rPr>
                <w:rStyle w:val="Pogrubienie"/>
                <w:rFonts w:ascii="Cambria Math" w:eastAsiaTheme="minorEastAsia" w:hAnsi="Cambria Math"/>
                <w:b w:val="0"/>
                <w:bCs w:val="0"/>
                <w:i/>
              </w:rPr>
            </m:ctrlPr>
          </m:sSupPr>
          <m:e>
            <m:r>
              <w:rPr>
                <w:rStyle w:val="Pogrubienie"/>
                <w:rFonts w:ascii="Cambria Math" w:eastAsiaTheme="minorEastAsia" w:hAnsi="Cambria Math"/>
              </w:rPr>
              <m:t>10</m:t>
            </m:r>
          </m:e>
          <m:sup>
            <m:r>
              <w:rPr>
                <w:rStyle w:val="Pogrubienie"/>
                <w:rFonts w:ascii="Cambria Math" w:eastAsiaTheme="minorEastAsia" w:hAnsi="Cambria Math"/>
              </w:rPr>
              <m:t>-13</m:t>
            </m:r>
          </m:sup>
        </m:sSup>
      </m:oMath>
      <w:r>
        <w:rPr>
          <w:rStyle w:val="Pogrubienie"/>
          <w:rFonts w:eastAsiaTheme="minorEastAsia"/>
          <w:b w:val="0"/>
          <w:bCs w:val="0"/>
        </w:rPr>
        <w:t>. W przypadku zbiorów A i B przyjęcie wysokiej tolerancji prowadzi do sklasyfikowania od kilku do kilkudziesięciu punktów leżących na prostej, co jest ilością znikomą w porównaniu z licznościami zbiorów. Znaczenie tolerancji dla zbioru C również jest marginalne.</w:t>
      </w:r>
    </w:p>
    <w:p w14:paraId="7C35E6E3" w14:textId="69042690" w:rsidR="002B1E3E" w:rsidRDefault="002B1E3E" w:rsidP="002B1E3E">
      <w:pPr>
        <w:pStyle w:val="Akapitzlist"/>
        <w:numPr>
          <w:ilvl w:val="1"/>
          <w:numId w:val="1"/>
        </w:numPr>
        <w:spacing w:line="240" w:lineRule="auto"/>
        <w:rPr>
          <w:rStyle w:val="Pogrubienie"/>
          <w:rFonts w:eastAsiaTheme="minorEastAsia"/>
        </w:rPr>
      </w:pPr>
      <w:r w:rsidRPr="002B1E3E">
        <w:rPr>
          <w:rStyle w:val="Pogrubienie"/>
          <w:rFonts w:eastAsiaTheme="minorEastAsia"/>
        </w:rPr>
        <w:t>Wnioski na temat metody obliczania wyznacznika</w:t>
      </w:r>
    </w:p>
    <w:p w14:paraId="5F486057" w14:textId="5B329CA3" w:rsidR="00D02E45" w:rsidRDefault="00026CAD" w:rsidP="00026CAD">
      <w:pPr>
        <w:pStyle w:val="Akapitzlist"/>
        <w:spacing w:line="240" w:lineRule="auto"/>
        <w:ind w:left="792"/>
        <w:rPr>
          <w:rStyle w:val="Pogrubienie"/>
          <w:rFonts w:eastAsiaTheme="minorEastAsia"/>
          <w:b w:val="0"/>
          <w:bCs w:val="0"/>
        </w:rPr>
      </w:pPr>
      <w:r>
        <w:rPr>
          <w:rStyle w:val="Pogrubienie"/>
          <w:rFonts w:eastAsiaTheme="minorEastAsia"/>
          <w:b w:val="0"/>
          <w:bCs w:val="0"/>
        </w:rPr>
        <w:t>W tabelach dla zbiorów A, B i C widać, że wybór metody obliczania wyznacznika jest całkowicie nieistotny. Zauważalne, istotne różnice pojawiają się dopiero w przypadku zbioru D.</w:t>
      </w:r>
      <w:r w:rsidR="00EA4F76">
        <w:rPr>
          <w:rStyle w:val="Pogrubienie"/>
          <w:rFonts w:eastAsiaTheme="minorEastAsia"/>
          <w:b w:val="0"/>
          <w:bCs w:val="0"/>
        </w:rPr>
        <w:t xml:space="preserve"> Można zaobserwować, że </w:t>
      </w:r>
      <w:r w:rsidR="00D02E45">
        <w:rPr>
          <w:rStyle w:val="Pogrubienie"/>
          <w:rFonts w:eastAsiaTheme="minorEastAsia"/>
          <w:b w:val="0"/>
          <w:bCs w:val="0"/>
        </w:rPr>
        <w:t xml:space="preserve">co do zasady wyznaczniki 2x2 </w:t>
      </w:r>
      <w:r w:rsidR="00D02E45">
        <w:rPr>
          <w:rStyle w:val="Pogrubienie"/>
          <w:rFonts w:eastAsiaTheme="minorEastAsia"/>
          <w:b w:val="0"/>
          <w:bCs w:val="0"/>
          <w:i/>
          <w:iCs/>
        </w:rPr>
        <w:t>szybciej</w:t>
      </w:r>
      <w:r w:rsidR="00D02E45">
        <w:rPr>
          <w:rStyle w:val="Pogrubienie"/>
          <w:rFonts w:eastAsiaTheme="minorEastAsia"/>
          <w:b w:val="0"/>
          <w:bCs w:val="0"/>
        </w:rPr>
        <w:t>, wraz ze spadkiem tolerancji, przestają klasyfikować punkty jako leżące na prostej, niż wyznaczniki 3x3, które jeszcze przez kilka rzędów wielkości klasyfikują wszystkie 1000 punktów jako współliniowe z AB.</w:t>
      </w:r>
      <w:r w:rsidR="00D02E45">
        <w:rPr>
          <w:rStyle w:val="Pogrubienie"/>
          <w:rFonts w:eastAsiaTheme="minorEastAsia"/>
          <w:b w:val="0"/>
          <w:bCs w:val="0"/>
        </w:rPr>
        <w:br/>
        <w:t xml:space="preserve">Istotną różnicą pomiędzy wyznacznikami bibliotecznymi i własnymi jest liczba punktów klasyfikowanych dla najmniejszych tolerancji – wyznaczniki własne wskazują na współliniowość kilkuset punktów, podczas gdy biblioteczne dają odpowiedź 0. </w:t>
      </w:r>
      <w:r w:rsidR="00D02E45">
        <w:rPr>
          <w:rStyle w:val="Pogrubienie"/>
          <w:rFonts w:eastAsiaTheme="minorEastAsia"/>
          <w:b w:val="0"/>
          <w:bCs w:val="0"/>
        </w:rPr>
        <w:br/>
        <w:t>Ciekawą zależność wykazuje rozkład punktów po poszczególnych stronach prostej, w zależności od użytej metody obliczania wyznacznika – podział dla bibliotecznego wyznacznika 2x2 jest skrajnie niezrównoważony, bibliotecznego wyznacznika 3x3 wprost przeciwnie – niemal idealnie równomierny. Wyznaczniki implementowane samodzielnie nie wykazują takich różnic – w obu przypadkach równomierność danych jest umiarkowanie zaburzona.</w:t>
      </w:r>
    </w:p>
    <w:p w14:paraId="38958596" w14:textId="28C90731" w:rsidR="00026CAD" w:rsidRPr="00D02E45" w:rsidRDefault="00D02E45" w:rsidP="00D02E45">
      <w:pPr>
        <w:rPr>
          <w:rStyle w:val="Pogrubienie"/>
          <w:rFonts w:eastAsiaTheme="minorEastAsia"/>
          <w:b w:val="0"/>
          <w:bCs w:val="0"/>
        </w:rPr>
      </w:pPr>
      <w:r>
        <w:rPr>
          <w:rStyle w:val="Pogrubienie"/>
          <w:rFonts w:eastAsiaTheme="minorEastAsia"/>
          <w:b w:val="0"/>
          <w:bCs w:val="0"/>
        </w:rPr>
        <w:br w:type="page"/>
      </w:r>
    </w:p>
    <w:p w14:paraId="66833B51" w14:textId="4FC59051" w:rsidR="00D02E45" w:rsidRDefault="00D02E45" w:rsidP="00D02E45">
      <w:pPr>
        <w:pStyle w:val="Akapitzlist"/>
        <w:numPr>
          <w:ilvl w:val="0"/>
          <w:numId w:val="1"/>
        </w:numPr>
        <w:spacing w:line="240" w:lineRule="auto"/>
        <w:rPr>
          <w:rStyle w:val="Pogrubienie"/>
          <w:rFonts w:eastAsiaTheme="minorEastAsia"/>
        </w:rPr>
      </w:pPr>
      <w:r w:rsidRPr="00D02E45">
        <w:rPr>
          <w:rStyle w:val="Pogrubienie"/>
          <w:rFonts w:eastAsiaTheme="minorEastAsia"/>
        </w:rPr>
        <w:lastRenderedPageBreak/>
        <w:t>Dodatek I: Tabele</w:t>
      </w:r>
    </w:p>
    <w:p w14:paraId="693E4DA4" w14:textId="568B471B" w:rsidR="00E86194" w:rsidRDefault="00E86194" w:rsidP="00E86194">
      <w:pPr>
        <w:pStyle w:val="Akapitzlist"/>
        <w:keepNext/>
        <w:numPr>
          <w:ilvl w:val="1"/>
          <w:numId w:val="1"/>
        </w:numPr>
        <w:spacing w:line="240" w:lineRule="auto"/>
        <w:ind w:left="788" w:hanging="431"/>
        <w:rPr>
          <w:rStyle w:val="Pogrubienie"/>
          <w:rFonts w:eastAsiaTheme="minorEastAsia"/>
        </w:rPr>
      </w:pPr>
      <w:r>
        <w:rPr>
          <w:rStyle w:val="Pogrubienie"/>
          <w:rFonts w:eastAsiaTheme="minorEastAsia"/>
        </w:rPr>
        <w:t>Zbiór A</w:t>
      </w:r>
    </w:p>
    <w:p w14:paraId="3833CB53" w14:textId="3900CE44" w:rsidR="00E86194" w:rsidRDefault="00E86194" w:rsidP="00E86194">
      <w:pPr>
        <w:pStyle w:val="Akapitzlist"/>
        <w:spacing w:line="240" w:lineRule="auto"/>
        <w:ind w:left="792"/>
        <w:rPr>
          <w:rStyle w:val="Pogrubienie"/>
          <w:rFonts w:eastAsiaTheme="minorEastAsia"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6EF5D12E" wp14:editId="596BFF03">
            <wp:extent cx="5486400" cy="2884714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190" cy="288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1FC1" w14:textId="1F22FA0C" w:rsidR="00E86194" w:rsidRDefault="00E86194" w:rsidP="00E86194">
      <w:pPr>
        <w:pStyle w:val="Akapitzlist"/>
        <w:keepNext/>
        <w:numPr>
          <w:ilvl w:val="1"/>
          <w:numId w:val="1"/>
        </w:numPr>
        <w:spacing w:line="240" w:lineRule="auto"/>
        <w:ind w:left="788" w:hanging="431"/>
        <w:rPr>
          <w:rStyle w:val="Pogrubienie"/>
          <w:rFonts w:eastAsiaTheme="minorEastAsia"/>
        </w:rPr>
      </w:pPr>
      <w:r>
        <w:rPr>
          <w:rStyle w:val="Pogrubienie"/>
          <w:rFonts w:eastAsiaTheme="minorEastAsia"/>
        </w:rPr>
        <w:t>Zbiór B</w:t>
      </w:r>
    </w:p>
    <w:p w14:paraId="1BDF5DAD" w14:textId="63B6269F" w:rsidR="00E86194" w:rsidRPr="00E86194" w:rsidRDefault="00E86194" w:rsidP="00E86194">
      <w:pPr>
        <w:pStyle w:val="Akapitzlist"/>
        <w:spacing w:line="240" w:lineRule="auto"/>
        <w:ind w:left="792"/>
        <w:rPr>
          <w:rStyle w:val="Pogrubienie"/>
          <w:rFonts w:eastAsiaTheme="minorEastAsia"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5DF484D1" wp14:editId="7A45D150">
            <wp:extent cx="5514975" cy="2902778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656" cy="291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48A4" w14:textId="122FA7D0" w:rsidR="00E86194" w:rsidRDefault="00E86194" w:rsidP="00E86194">
      <w:pPr>
        <w:pStyle w:val="Akapitzlist"/>
        <w:keepNext/>
        <w:numPr>
          <w:ilvl w:val="1"/>
          <w:numId w:val="1"/>
        </w:numPr>
        <w:spacing w:line="240" w:lineRule="auto"/>
        <w:ind w:left="788" w:hanging="431"/>
        <w:rPr>
          <w:rStyle w:val="Pogrubienie"/>
          <w:rFonts w:eastAsiaTheme="minorEastAsia"/>
        </w:rPr>
      </w:pPr>
      <w:r>
        <w:rPr>
          <w:rStyle w:val="Pogrubienie"/>
          <w:rFonts w:eastAsiaTheme="minorEastAsia"/>
        </w:rPr>
        <w:lastRenderedPageBreak/>
        <w:t>Zbiór C</w:t>
      </w:r>
    </w:p>
    <w:p w14:paraId="4945A011" w14:textId="200E501C" w:rsidR="00E86194" w:rsidRDefault="00E86194" w:rsidP="00E86194">
      <w:pPr>
        <w:pStyle w:val="Akapitzlist"/>
        <w:spacing w:line="240" w:lineRule="auto"/>
        <w:ind w:left="792"/>
        <w:rPr>
          <w:rStyle w:val="Pogrubienie"/>
          <w:rFonts w:eastAsiaTheme="minorEastAsia"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60240ADA" wp14:editId="0113BAA7">
            <wp:extent cx="5760720" cy="3027045"/>
            <wp:effectExtent l="0" t="0" r="0" b="190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60BA" w14:textId="3FC1C8E6" w:rsidR="00E86194" w:rsidRDefault="00E86194" w:rsidP="00E86194">
      <w:pPr>
        <w:pStyle w:val="Akapitzlist"/>
        <w:keepNext/>
        <w:numPr>
          <w:ilvl w:val="1"/>
          <w:numId w:val="1"/>
        </w:numPr>
        <w:spacing w:line="240" w:lineRule="auto"/>
        <w:ind w:left="788" w:hanging="431"/>
        <w:rPr>
          <w:rStyle w:val="Pogrubienie"/>
          <w:rFonts w:eastAsiaTheme="minorEastAsia"/>
        </w:rPr>
      </w:pPr>
      <w:r>
        <w:rPr>
          <w:rStyle w:val="Pogrubienie"/>
          <w:rFonts w:eastAsiaTheme="minorEastAsia"/>
        </w:rPr>
        <w:t>Zbiór D</w:t>
      </w:r>
    </w:p>
    <w:p w14:paraId="0623E30A" w14:textId="037A6256" w:rsidR="00D02E45" w:rsidRPr="00E86194" w:rsidRDefault="00E86194" w:rsidP="00E86194">
      <w:pPr>
        <w:pStyle w:val="Akapitzlist"/>
        <w:spacing w:line="240" w:lineRule="auto"/>
        <w:ind w:left="792"/>
        <w:rPr>
          <w:rStyle w:val="Pogrubienie"/>
          <w:rFonts w:eastAsiaTheme="minorEastAsia"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091B3B5D" wp14:editId="5DC16C0F">
            <wp:extent cx="5760720" cy="302895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E45" w:rsidRPr="00E861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1239F"/>
    <w:multiLevelType w:val="multilevel"/>
    <w:tmpl w:val="6DC69C60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39BB7F87"/>
    <w:multiLevelType w:val="multilevel"/>
    <w:tmpl w:val="6DC69C6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9E2718D"/>
    <w:multiLevelType w:val="multilevel"/>
    <w:tmpl w:val="6DC69C6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25947956">
    <w:abstractNumId w:val="2"/>
  </w:num>
  <w:num w:numId="2" w16cid:durableId="352345262">
    <w:abstractNumId w:val="1"/>
  </w:num>
  <w:num w:numId="3" w16cid:durableId="1434477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0F"/>
    <w:rsid w:val="00026CAD"/>
    <w:rsid w:val="00056F86"/>
    <w:rsid w:val="000C2BBB"/>
    <w:rsid w:val="00162B0F"/>
    <w:rsid w:val="001B18D8"/>
    <w:rsid w:val="00233114"/>
    <w:rsid w:val="002B1E3E"/>
    <w:rsid w:val="003F7844"/>
    <w:rsid w:val="0045459A"/>
    <w:rsid w:val="004D1ECB"/>
    <w:rsid w:val="00867941"/>
    <w:rsid w:val="00902014"/>
    <w:rsid w:val="00A25EB4"/>
    <w:rsid w:val="00AF5292"/>
    <w:rsid w:val="00B062AD"/>
    <w:rsid w:val="00C33C6F"/>
    <w:rsid w:val="00CA0D2C"/>
    <w:rsid w:val="00CA531E"/>
    <w:rsid w:val="00D02E45"/>
    <w:rsid w:val="00E86194"/>
    <w:rsid w:val="00EA4F76"/>
    <w:rsid w:val="00F43F87"/>
    <w:rsid w:val="00FE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ECD12"/>
  <w15:chartTrackingRefBased/>
  <w15:docId w15:val="{A25862AD-6595-43BB-959C-AC911AA7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FE707B"/>
    <w:rPr>
      <w:b/>
      <w:bCs/>
    </w:rPr>
  </w:style>
  <w:style w:type="paragraph" w:styleId="Akapitzlist">
    <w:name w:val="List Paragraph"/>
    <w:basedOn w:val="Normalny"/>
    <w:uiPriority w:val="34"/>
    <w:qFormat/>
    <w:rsid w:val="00FE707B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9020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6</Pages>
  <Words>824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Smółka</dc:creator>
  <cp:keywords/>
  <dc:description/>
  <cp:lastModifiedBy>Jan Smółka</cp:lastModifiedBy>
  <cp:revision>9</cp:revision>
  <dcterms:created xsi:type="dcterms:W3CDTF">2022-10-22T17:49:00Z</dcterms:created>
  <dcterms:modified xsi:type="dcterms:W3CDTF">2022-10-23T15:04:00Z</dcterms:modified>
</cp:coreProperties>
</file>