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Как выбрать вендора SCADA: критерии, которые важнее технических характеристик</w:t>
      </w:r>
    </w:p>
    <w:p>
      <w:pPr>
        <w:jc w:val="center"/>
      </w:pPr>
      <w:r>
        <w:rPr>
          <w:i/>
          <w:color w:val="646464"/>
          <w:sz w:val="22"/>
        </w:rPr>
        <w:t>Алексей Амиров, при участии редакции СпецТех</w:t>
      </w:r>
    </w:p>
    <w:p/>
    <w:p>
      <w:r>
        <w:t>Запросы на сравнение SCADA-систем от разных производителей — стандартная процедура при выборе поставщика. Техническое сравнение по балльной системе необходимо, но недостаточно. Результат зависит от факторов, которые в таблицах сравнения обычно отсутствуют: зрелость экосистемы, реальная стоимость владения, доступность обучения и поддержки.</w:t>
      </w:r>
    </w:p>
    <w:p>
      <w:r>
        <w:t>Эта статья — не попытка сравнить производителей по функционалу. Это практическое руководство по критериям выбора, которые определяют успех проекта не меньше, чем количество поддерживаемых протоколов.</w:t>
      </w:r>
    </w:p>
    <w:p>
      <w:pPr>
        <w:pStyle w:val="Heading1"/>
      </w:pPr>
      <w:r>
        <w:t>Типичный сценарий: импортозамещение</w:t>
      </w:r>
    </w:p>
    <w:p>
      <w:r>
        <w:t>На предприятии работает Siemens WinCC, Schneider Electric Citect, Honeywell Experion или аналогичное зарубежное ПО. Система стабильна — «работает и не трогай». Но регулятор требует замены на значимых объектах КИИ в соответствии с Постановлением Правительства РФ № 1912.</w:t>
      </w:r>
    </w:p>
    <w:p>
      <w:r>
        <w:t>Отдел АСУ ТП или привлечённый интегратор проводит техническое сравнение трёх–пяти российских производителей. Получает таблицу с двумя-тремя лидерами. Дальше начинается самое сложное — выбор между ними.</w:t>
      </w:r>
    </w:p>
    <w:p>
      <w:r>
        <w:t>Среди кандидатов окажутся как компании с многолетней историей на рынке, так и те, что появились после 2022 года. Критерии ниже помогут отделить зрелый продукт от декларации о намерениях.</w:t>
      </w:r>
    </w:p>
    <w:p>
      <w:pPr>
        <w:pStyle w:val="Heading1"/>
      </w:pPr>
      <w:r>
        <w:t>SCADA или платформа?</w:t>
      </w:r>
    </w:p>
    <w:p>
      <w:r>
        <w:t>Прежде чем сравнивать — определите класс решения.</w:t>
      </w:r>
    </w:p>
    <w:p>
      <w:r>
        <w:rPr>
          <w:b/>
        </w:rPr>
        <w:t>SCADA</w:t>
      </w:r>
      <w:r>
        <w:t xml:space="preserve"> подходит для локальных задач: котельная, АРМ оператора производственной линии, отдельный цех. </w:t>
      </w:r>
      <w:r>
        <w:rPr>
          <w:b/>
        </w:rPr>
        <w:t>Платформа</w:t>
      </w:r>
      <w:r>
        <w:t xml:space="preserve"> — для крупных распределённых проектов с десятками объектов, интеграцией с IT-ландшафтом, MES и ERP.</w:t>
      </w:r>
    </w:p>
    <w:p>
      <w:r>
        <w:t>На практике часто сравнивают SCADA одного производителя с платформой другого — и по технике, и по цене. Это некорректно. Различия в архитектуре, масштабируемости и возможностях интеграции делают такое сравнение бессмысленным.</w:t>
      </w:r>
    </w:p>
    <w:p>
      <w:pPr>
        <w:pStyle w:val="Heading1"/>
      </w:pPr>
      <w:r>
        <w:t>Стоимость: считайте правильно</w:t>
      </w:r>
    </w:p>
    <w:p>
      <w:r>
        <w:t>У вендоров различается лицензионная политика: по-разному считаются теги ввода-вывода, клиентские подключения, дополнительные драйверы. При сравнении цен по типовой архитектуре проекта разница между вендорами одного класса может оказаться значительной.</w:t>
      </w:r>
    </w:p>
    <w:p>
      <w:r>
        <w:t>Если разница превышает 30% — уточняйте детали у производителя или дистрибьютора. Часто правильный подбор архитектуры позволяет привести стоимость к сопоставимым значениям.</w:t>
      </w:r>
    </w:p>
    <w:p>
      <w:r>
        <w:t>Техническую поддержку на 1, 3 и 5 лет включайте в совокупную стоимость владения (TCO) с самого начала. Для крупных распределённых проектов с удалёнными объектами техподдержка — не опция, а необходимость.</w:t>
      </w:r>
    </w:p>
    <w:p>
      <w:pPr>
        <w:pStyle w:val="Heading1"/>
      </w:pPr>
      <w:r>
        <w:t>Экосистема интеграторов: главный критерий</w:t>
      </w:r>
    </w:p>
    <w:p>
      <w:r>
        <w:t>Наличие развитой сети сертифицированных системных интеграторов — самый важный фактор при выборе вендора. Инжиниринговые компании, как правило, мультивендорны. Если у вендора есть действующие сертифицированные партнёры — это подтверждение рыночной конкурентоспособности.</w:t>
      </w:r>
    </w:p>
    <w:p>
      <w:r>
        <w:t>На что обращать внимание:</w:t>
      </w:r>
    </w:p>
    <w:p>
      <w:pPr>
        <w:pStyle w:val="ListBullet"/>
      </w:pPr>
      <w:r>
        <w:rPr>
          <w:b/>
        </w:rPr>
        <w:t>Уровни сертификации интеграторов</w:t>
      </w:r>
      <w:r>
        <w:t xml:space="preserve"> — наличие градации по опыту и владению продуктом. Эти требования полезно включать в тендерную документацию</w:t>
      </w:r>
    </w:p>
    <w:p>
      <w:pPr>
        <w:pStyle w:val="ListBullet"/>
      </w:pPr>
      <w:r>
        <w:rPr>
          <w:b/>
        </w:rPr>
        <w:t>Выполненные проекты и команда</w:t>
      </w:r>
      <w:r>
        <w:t xml:space="preserve"> — опыт работы по функционалу, релевантному вашему проекту</w:t>
      </w:r>
    </w:p>
    <w:p>
      <w:pPr>
        <w:pStyle w:val="ListBullet"/>
      </w:pPr>
      <w:r>
        <w:rPr>
          <w:b/>
        </w:rPr>
        <w:t>Региональное покрытие</w:t>
      </w:r>
      <w:r>
        <w:t xml:space="preserve"> — наличие сертифицированных партнёров в вашем регионе снижает риски сопровождения</w:t>
      </w:r>
    </w:p>
    <w:p>
      <w:r>
        <w:t>Опытный интегратор способен компенсировать технические и функциональные слабости ПО. В контексте перехода к открытой АСУ ТП (стандарты O-PAS) роль и ответственность интегратора возрастает кратно.</w:t>
      </w:r>
    </w:p>
    <w:p>
      <w:pPr>
        <w:pStyle w:val="Heading1"/>
      </w:pPr>
      <w:r>
        <w:t>Обучение и порог входа</w:t>
      </w:r>
    </w:p>
    <w:p>
      <w:r>
        <w:t>Для многих производителей критичен порог входа в разработку. Какой базовый уровень специалиста необходим? Потребуются ли скрипты на C++/Java или привлечение DevOps-инженеров?</w:t>
      </w:r>
    </w:p>
    <w:p>
      <w:r>
        <w:t>Low-code системы снижают порог входа, но часто ограничены по функционалу. Это нужно учитывать при выборе.</w:t>
      </w:r>
    </w:p>
    <w:p>
      <w:r>
        <w:t>Оцените:</w:t>
      </w:r>
    </w:p>
    <w:p>
      <w:pPr>
        <w:pStyle w:val="ListBullet"/>
      </w:pPr>
      <w:r>
        <w:t>Сроки, стоимость и формат обучения (очно/дистанционно)</w:t>
      </w:r>
    </w:p>
    <w:p>
      <w:pPr>
        <w:pStyle w:val="ListBullet"/>
      </w:pPr>
      <w:r>
        <w:t>Географию учебных центров — обучение не должно быть привязано к одному городу раз в квартал</w:t>
      </w:r>
    </w:p>
    <w:p>
      <w:pPr>
        <w:pStyle w:val="ListBullet"/>
      </w:pPr>
      <w:r>
        <w:t>Наличие полноценной программы и доступных материалов после обучения</w:t>
      </w:r>
    </w:p>
    <w:p>
      <w:r>
        <w:t>Если документация и учебные материалы не предоставляются сразу — это тревожный сигнал.</w:t>
      </w:r>
    </w:p>
    <w:p>
      <w:pPr>
        <w:pStyle w:val="Heading1"/>
      </w:pPr>
      <w:r>
        <w:t>Кейсы внедрений</w:t>
      </w:r>
    </w:p>
    <w:p>
      <w:r>
        <w:t>Истории успешных внедрений в вашей отрасли — плюс, но не ключевой критерий. Все проекты уникальны. Требовать от российских производителей кейсы по предприятиям масштаба Норникеля или Новатэка — нереалистично: аналогов в мире единицы.</w:t>
      </w:r>
    </w:p>
    <w:p>
      <w:r>
        <w:t>Сильная экосистема интеграторов компенсирует отсутствие отраслевых кейсов. Принципиально другое: в проекте обязательно должен участвовать специалист, глубоко понимающий технологии и бизнес-процессы конкретного предприятия — со стороны интегратора или заказчика.</w:t>
      </w:r>
    </w:p>
    <w:p>
      <w:pPr>
        <w:pStyle w:val="Heading1"/>
      </w:pPr>
      <w:r>
        <w:t>Дорожная карта развития</w:t>
      </w:r>
    </w:p>
    <w:p>
      <w:r>
        <w:t>Наличие и реализация планов развития продукта — признак устойчивости компании. Крупные мировые вендоры направляют на R&amp;D более 50% прибыли. Для российских производителей, находящихся в фазе активного роста, этот показатель может быть ещё выше.</w:t>
      </w:r>
    </w:p>
    <w:p>
      <w:r>
        <w:t>Запрашивайте дорожную карту и соотносите её с вашими ожиданиями от продукта на горизонте 3–5 лет.</w:t>
      </w:r>
    </w:p>
    <w:p>
      <w:pPr>
        <w:pStyle w:val="Heading1"/>
      </w:pPr>
      <w:r>
        <w:t>Технологические партнёрства</w:t>
      </w:r>
    </w:p>
    <w:p>
      <w:r>
        <w:t>Коллаборации вендора с другими производителями важны для интеграции вашего проекта в IT-ландшафт предприятия: работа со смежными корпоративными системами, выполнение требований по резервному копированию, информационной безопасности.</w:t>
      </w:r>
    </w:p>
    <w:p>
      <w:r>
        <w:t>Изолированный вендор без партнёрской экосистемы создаёт риск vendor lock-in.</w:t>
      </w:r>
    </w:p>
    <w:p>
      <w:pPr>
        <w:pStyle w:val="Heading1"/>
      </w:pPr>
      <w:r>
        <w:t>Модели работы вендора: на что обращать внимание</w:t>
      </w:r>
    </w:p>
    <w:p>
      <w:pPr>
        <w:pStyle w:val="Heading2"/>
      </w:pPr>
      <w:r>
        <w:t>Вендор как главный интегратор</w:t>
      </w:r>
    </w:p>
    <w:p>
      <w:r>
        <w:t>Любой новый производитель проходит этот этап — и некоторые задерживаются в нём надолго. Софт дорабатывается «на ходу» под конкретного заказчика. Главный вопрос: что произойдёт, если у компании появится более платёжеспособный клиент, а ресурсы ограничены? На середине проекта конкуренция за внимание вендора уже не работает в вашу пользу.</w:t>
      </w:r>
    </w:p>
    <w:p>
      <w:pPr>
        <w:pStyle w:val="Heading2"/>
      </w:pPr>
      <w:r>
        <w:t>Вендор как заказчик ПО для собственных проектов</w:t>
      </w:r>
    </w:p>
    <w:p>
      <w:r>
        <w:t>Крупные заказчики иногда разрабатывают ПО «под себя» на базе платформы вендора. Результатом может стать отраслевое решение. Но масштабирование таких решений на другие предприятия (часто — конкурентов первого заказчика) — сложная задача. У зарубежных вендоров это работает при наличии серьёзной команды delivery. В России такие решения пока остаются привязанными к одному клиенту.</w:t>
      </w:r>
    </w:p>
    <w:p>
      <w:pPr>
        <w:pStyle w:val="Heading2"/>
      </w:pPr>
      <w:r>
        <w:t>Роль дистрибьютора</w:t>
      </w:r>
    </w:p>
    <w:p>
      <w:r>
        <w:t>Профессиональный дистрибьютор — не просто перепродавец. Его функции:</w:t>
      </w:r>
    </w:p>
    <w:p>
      <w:r>
        <w:rPr>
          <w:b/>
        </w:rPr>
        <w:t>Для производителя</w:t>
      </w:r>
      <w:r>
        <w:t xml:space="preserve"> — продвижение продукта, предписание в проекты на ранней стадии, пилотные внедрения, техническая поддержка L1/L2.</w:t>
      </w:r>
    </w:p>
    <w:p>
      <w:r>
        <w:rPr>
          <w:b/>
        </w:rPr>
        <w:t>Для интегратора</w:t>
      </w:r>
      <w:r>
        <w:t xml:space="preserve"> — генерация лидов, регистрация проектов, финансовое «плечо», обучение и поддержка специалистов.</w:t>
      </w:r>
    </w:p>
    <w:p>
      <w:r>
        <w:rPr>
          <w:b/>
        </w:rPr>
        <w:t>Для заказчика</w:t>
      </w:r>
      <w:r>
        <w:t xml:space="preserve"> — помощь в выборе архитектуры, поддержка миграции с зарубежного ПО, консультации по продлению жизненного цикла существующих систем, обучение и техническая поддержка.</w:t>
      </w:r>
    </w:p>
    <w:p/>
    <w:p>
      <w:r>
        <w:t>——————————————————————————————</w:t>
      </w:r>
    </w:p>
    <w:p>
      <w:r>
        <w:rPr>
          <w:b/>
        </w:rPr>
        <w:t xml:space="preserve">Об авторе: </w:t>
      </w:r>
      <w:r>
        <w:rPr>
          <w:i/>
        </w:rPr>
        <w:t>Алексей Амиров — эксперт с многолетним опытом в продажах и развитии партнёрских экосистем SCADA-систем. Ранее отвечал за развитие партнёрской сети одного из мировых лидеров SCADA в РФ. В настоящее время — дистрибьютор ведущих российских производителей систем диспетчеризации и SCADA.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