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сопроводительное-письмо"/>
    <w:p>
      <w:pPr>
        <w:pStyle w:val="Heading1"/>
      </w:pPr>
      <w:r>
        <w:t xml:space="preserve">Сопроводительное письмо</w:t>
      </w:r>
    </w:p>
    <w:p>
      <w:pPr>
        <w:pStyle w:val="FirstParagraph"/>
      </w:pPr>
      <w:r>
        <w:rPr>
          <w:bCs/>
          <w:b/>
        </w:rPr>
        <w:t xml:space="preserve">ООО «Атомик Софт»</w:t>
      </w:r>
      <w:r>
        <w:t xml:space="preserve"> </w:t>
      </w:r>
      <w:r>
        <w:t xml:space="preserve">ИНН 7701234567 / КПП 770101001</w:t>
      </w:r>
      <w:r>
        <w:t xml:space="preserve"> </w:t>
      </w:r>
      <w:r>
        <w:t xml:space="preserve">123456, г. Москва, ул. Профсоюзная, д. 15, стр. 2, офис 401</w:t>
      </w:r>
      <w:r>
        <w:t xml:space="preserve"> </w:t>
      </w:r>
      <w:r>
        <w:t xml:space="preserve">Тел.: +7 (495) 123-45-67 | info@atomicsoft.ru</w:t>
      </w:r>
    </w:p>
    <w:p>
      <w:pPr>
        <w:pStyle w:val="BodyText"/>
      </w:pPr>
      <w:r>
        <w:t xml:space="preserve">Исх. № АС-2026/031 от «17» марта 2026 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Генеральному директору</w:t>
      </w:r>
      <w:r>
        <w:t xml:space="preserve"> </w:t>
      </w:r>
      <w:r>
        <w:rPr>
          <w:bCs/>
          <w:b/>
        </w:rPr>
        <w:t xml:space="preserve">Департамента информационных технологий</w:t>
      </w:r>
      <w:r>
        <w:t xml:space="preserve"> </w:t>
      </w:r>
      <w:r>
        <w:rPr>
          <w:bCs/>
          <w:b/>
        </w:rPr>
        <w:t xml:space="preserve">ПАО «Транснефть»</w:t>
      </w:r>
    </w:p>
    <w:p>
      <w:r>
        <w:pict>
          <v:rect style="width:0;height:1.5pt" o:hralign="center" o:hrstd="t" o:hr="t"/>
        </w:pict>
      </w:r>
    </w:p>
    <w:bookmarkStart w:id="20" w:name="уважаемые-коллеги"/>
    <w:p>
      <w:pPr>
        <w:pStyle w:val="Heading2"/>
      </w:pPr>
      <w:r>
        <w:t xml:space="preserve">Уважаемые коллеги!</w:t>
      </w:r>
    </w:p>
    <w:p>
      <w:pPr>
        <w:pStyle w:val="FirstParagraph"/>
      </w:pPr>
      <w:r>
        <w:t xml:space="preserve">В ответ на Ваш запрос (исх. № ТН-ДИТ/2026-0842 от 04.03.2026) о предоставлении детализированной калькуляции к ранее направленному обоснованию корректировки стоимости лицензий и технической поддержки программного обеспечения платформы «Альфа» (SCADA, Historian, Reports) на 2026 год (наше письмо исх. № АС-2026/019 от 14.02.2026), направляем запрошенную информацию.</w:t>
      </w:r>
    </w:p>
    <w:p>
      <w:pPr>
        <w:pStyle w:val="BodyText"/>
      </w:pPr>
      <w:r>
        <w:t xml:space="preserve">Ниже представлена структура затрат ООО «Атомик Софт» за 2024–2026 гг. с разбивкой по основным статьям расходов. Детальная калькуляция с разбивкой по подстатьям приведена в Приложении 1.</w:t>
      </w:r>
    </w:p>
    <w:p>
      <w:r>
        <w:pict>
          <v:rect style="width:0;height:1.5pt" o:hralign="center" o:hrstd="t" o:hr="t"/>
        </w:pict>
      </w:r>
    </w:p>
    <w:bookmarkEnd w:id="20"/>
    <w:bookmarkStart w:id="28" w:name="X126035017034174466ec0aa4ef5a0546c8eefee"/>
    <w:p>
      <w:pPr>
        <w:pStyle w:val="Heading2"/>
      </w:pPr>
      <w:r>
        <w:t xml:space="preserve">1. Структура затрат ООО «Атомик Софт», 2024–2026 гг.</w:t>
      </w:r>
    </w:p>
    <w:bookmarkStart w:id="21" w:name="X6c3e5576df97703bc253ab2892ef2885669b5e2"/>
    <w:p>
      <w:pPr>
        <w:pStyle w:val="Heading3"/>
      </w:pPr>
      <w:r>
        <w:t xml:space="preserve">1.1. Фонд оплаты труда (ФОТ) с учётом налогов и страховых взносов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штат, 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заработная плата, тыс. 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Индексация ЗП, % г/г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Годовой ФОТ (gross), млн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Страховые взносы (30%), млн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ФОТ с налогами,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258,6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383,8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Комментарий:</w:t>
      </w:r>
      <w:r>
        <w:t xml:space="preserve"> </w:t>
      </w:r>
      <w:r>
        <w:t xml:space="preserve">Рост ФОТ обусловлен как увеличением штатной численности (расширение команды разработки модулей для промышленной автоматизации, усиление группы технической поддержки и отдела информационной безопасности), так и необходимостью индексации заработных плат для удержания квалифицированных специалистов в условиях высококонкурентного рынка труда в сфере IT.</w:t>
      </w:r>
    </w:p>
    <w:bookmarkEnd w:id="21"/>
    <w:bookmarkStart w:id="22" w:name="накладные-расходы"/>
    <w:p>
      <w:pPr>
        <w:pStyle w:val="Heading3"/>
      </w:pPr>
      <w:r>
        <w:t xml:space="preserve">1.2. Накладные расходы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офисных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Серверная инфраструктура (ЦОД, облачные сервисы, тестовые стенды)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Лицензии на средства разработки (IDE, CI/CD, JIRA, GitLab и др.)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Связь, интернет, коммунальные услуги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Охрана, бухгалтерия, юридическое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накладные,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55,0</w:t>
            </w:r>
          </w:p>
        </w:tc>
      </w:tr>
    </w:tbl>
    <w:bookmarkEnd w:id="22"/>
    <w:bookmarkStart w:id="23" w:name="маркетинговые-расходы"/>
    <w:p>
      <w:pPr>
        <w:pStyle w:val="Heading3"/>
      </w:pPr>
      <w:r>
        <w:t xml:space="preserve">1.3. Маркетинговые расходы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Участие в отраслевых выставках (НЕФТЕГАЗ, ИННОПРОМ, TAdviser SummIT)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Подготовка документации и маркетинговых 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Поддержка и развитие веб-сайта, SEO,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Командировки к заказчикам (в т.ч. объекты ПАО «Транснефть»)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маркетинг,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14,0</w:t>
            </w:r>
          </w:p>
        </w:tc>
      </w:tr>
    </w:tbl>
    <w:bookmarkEnd w:id="23"/>
    <w:bookmarkStart w:id="24" w:name="X56212a108045f3cbebd95365e295752f06e3dc8"/>
    <w:p>
      <w:pPr>
        <w:pStyle w:val="Heading3"/>
      </w:pPr>
      <w:r>
        <w:t xml:space="preserve">1.4. Инвестиционные расходы в развитие продукта (R&amp;D)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новых модулей платформы «Альфа»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Переход на импортонезависимый стек (Linux, PostgreSQL, Astra Linux, РЕД ОС)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Сертификация ФСТЭК / ФСБ (в части продукта)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Разработка специализированных модулей и артикулов для ПАО «Транснефть»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Портирование на отечественные ОС, тестирование совместимости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R&amp;D,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68,0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Комментарий:</w:t>
      </w:r>
      <w:r>
        <w:t xml:space="preserve"> </w:t>
      </w:r>
      <w:r>
        <w:t xml:space="preserve">Значительный рост инвестиций в R&amp;D обусловлен требованиями Указа Президента РФ № 166 от 30.03.2022 о переходе на отечественное ПО, необходимостью обеспечения совместимости с Astra Linux, РЕД ОС, СУБД PostgreSQL, а также выполнением требований регуляторов в области защиты КИИ.</w:t>
      </w:r>
    </w:p>
    <w:bookmarkEnd w:id="24"/>
    <w:bookmarkStart w:id="25" w:name="затраты-на-работу-с-вузами"/>
    <w:p>
      <w:pPr>
        <w:pStyle w:val="Heading3"/>
      </w:pPr>
      <w:r>
        <w:t xml:space="preserve">1.5. Затраты на работу с ВУЗами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Партнёрские программы (НИЯУ МИФИ, НИУ МЭИ, МГТУ им. Баумана, МИРЭА)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Стажировки студентов, оплата наставничества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Учебные лицензии, гранты на НИР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Подготовка учебных курсов по SCADA / АСУ ТП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работа с ВУЗами,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7,5</w:t>
            </w:r>
          </w:p>
        </w:tc>
      </w:tr>
    </w:tbl>
    <w:bookmarkEnd w:id="25"/>
    <w:bookmarkStart w:id="26" w:name="затраты-на-соответствие-и-сертификацию"/>
    <w:p>
      <w:pPr>
        <w:pStyle w:val="Heading3"/>
      </w:pPr>
      <w:r>
        <w:t xml:space="preserve">1.6. Затраты на соответствие и сертификацию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Сертификация ФСТЭК (процедуры, испытательные лаборатории)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Выполнение требований 187-ФЗ (КИИ)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ФСБ (СКЗИ, при необходимости)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Аттестация рабочих мест, аудиты 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сертификация,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12,0</w:t>
            </w:r>
          </w:p>
        </w:tc>
      </w:tr>
    </w:tbl>
    <w:bookmarkEnd w:id="26"/>
    <w:bookmarkStart w:id="27" w:name="прочие-расходы"/>
    <w:p>
      <w:pPr>
        <w:pStyle w:val="Heading3"/>
      </w:pPr>
      <w:r>
        <w:t xml:space="preserve">1.7. Прочие расходы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(прогноз)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Страхование (ответственности, имущества)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Банковские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Резервный фонд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прочие,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сводная-таблица-расходов"/>
    <w:p>
      <w:pPr>
        <w:pStyle w:val="Heading2"/>
      </w:pPr>
      <w:r>
        <w:t xml:space="preserve">2. Сводная таблица расходов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Статья расходов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факт,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факт,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 прогноз,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Рост 2025→2026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 с налогами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Накладные расходы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Маркетинговые расходы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и инвестиции в продукт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ВУЗами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и соответствие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Прочие расходы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453,5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+20,8%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Индекс роста к предыдущему году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+26,0%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+20,8%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обоснование"/>
    <w:p>
      <w:pPr>
        <w:pStyle w:val="Heading2"/>
      </w:pPr>
      <w:r>
        <w:t xml:space="preserve">3. Обоснование</w:t>
      </w:r>
    </w:p>
    <w:p>
      <w:pPr>
        <w:pStyle w:val="FirstParagraph"/>
      </w:pPr>
      <w:r>
        <w:t xml:space="preserve">Как следует из представленной калькуляции, совокупные расходы ООО «Атомик Софт» на поддержку и развитие платформы «Альфа» в 2026 году прогнозируются на уровне</w:t>
      </w:r>
      <w:r>
        <w:t xml:space="preserve"> </w:t>
      </w:r>
      <w:r>
        <w:rPr>
          <w:bCs/>
          <w:b/>
        </w:rPr>
        <w:t xml:space="preserve">547,8 млн руб.</w:t>
      </w:r>
      <w:r>
        <w:t xml:space="preserve">, что составляет рост на</w:t>
      </w:r>
      <w:r>
        <w:t xml:space="preserve"> </w:t>
      </w:r>
      <w:r>
        <w:rPr>
          <w:bCs/>
          <w:b/>
        </w:rPr>
        <w:t xml:space="preserve">20,8%</w:t>
      </w:r>
      <w:r>
        <w:t xml:space="preserve"> </w:t>
      </w:r>
      <w:r>
        <w:t xml:space="preserve">относительно 2025 года.</w:t>
      </w:r>
    </w:p>
    <w:p>
      <w:pPr>
        <w:pStyle w:val="BodyText"/>
      </w:pPr>
      <w:r>
        <w:t xml:space="preserve">При этом предложенная корректировка стоимости лицензий и технической поддержки для ПАО «Транснефть» составляет</w:t>
      </w:r>
      <w:r>
        <w:t xml:space="preserve"> </w:t>
      </w:r>
      <w:r>
        <w:rPr>
          <w:bCs/>
          <w:b/>
        </w:rPr>
        <w:t xml:space="preserve">15%</w:t>
      </w:r>
      <w:r>
        <w:t xml:space="preserve">, что</w:t>
      </w:r>
      <w:r>
        <w:t xml:space="preserve"> </w:t>
      </w:r>
      <w:r>
        <w:rPr>
          <w:bCs/>
          <w:b/>
        </w:rPr>
        <w:t xml:space="preserve">существенно ниже фактического роста затрат</w:t>
      </w:r>
      <w:r>
        <w:t xml:space="preserve">. Разницу в 5,8 п.п. компания принимает на себя за счёт оптимизации внутренних процессов и повышения операционной эффективности.</w:t>
      </w:r>
    </w:p>
    <w:p>
      <w:r>
        <w:pict>
          <v:rect style="width:0;height:1.5pt" o:hralign="center" o:hrstd="t" o:hr="t"/>
        </w:pict>
      </w:r>
    </w:p>
    <w:bookmarkEnd w:id="30"/>
    <w:bookmarkStart w:id="34" w:name="дополнительные-рыночные-аргументы"/>
    <w:p>
      <w:pPr>
        <w:pStyle w:val="Heading2"/>
      </w:pPr>
      <w:r>
        <w:t xml:space="preserve">4. Дополнительные рыночные аргументы</w:t>
      </w:r>
    </w:p>
    <w:bookmarkStart w:id="31" w:name="сравнение-с-конкурентами"/>
    <w:p>
      <w:pPr>
        <w:pStyle w:val="Heading3"/>
      </w:pPr>
      <w:r>
        <w:t xml:space="preserve">4.1. Сравнение с конкурентами</w:t>
      </w:r>
    </w:p>
    <w:p>
      <w:pPr>
        <w:pStyle w:val="FirstParagraph"/>
      </w:pPr>
      <w:r>
        <w:t xml:space="preserve">Основные российские разработчики SCADA-систем произвели следующую корректировку цен на 2026 год: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Индексация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ООО «ИнСАТ»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MasterSCADA 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ООО «АдАстра»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MODE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+20–25%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ООО «Атомик Софт»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«Альфа»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+15%</w:t>
            </w:r>
          </w:p>
        </w:tc>
      </w:tr>
    </w:tbl>
    <w:p>
      <w:pPr>
        <w:pStyle w:val="BodyText"/>
      </w:pPr>
      <w:r>
        <w:t xml:space="preserve">Предложенная нами индексация является</w:t>
      </w:r>
      <w:r>
        <w:t xml:space="preserve"> </w:t>
      </w:r>
      <w:r>
        <w:rPr>
          <w:bCs/>
          <w:b/>
        </w:rPr>
        <w:t xml:space="preserve">минимальной среди ведущих отечественных разработчиков</w:t>
      </w:r>
      <w:r>
        <w:t xml:space="preserve"> </w:t>
      </w:r>
      <w:r>
        <w:t xml:space="preserve">промышленного ПО.</w:t>
      </w:r>
    </w:p>
    <w:bookmarkEnd w:id="31"/>
    <w:bookmarkStart w:id="32" w:name="рынок-труда"/>
    <w:p>
      <w:pPr>
        <w:pStyle w:val="Heading3"/>
      </w:pPr>
      <w:r>
        <w:t xml:space="preserve">4.2. Рынок труда</w:t>
      </w:r>
    </w:p>
    <w:p>
      <w:pPr>
        <w:pStyle w:val="FirstParagraph"/>
      </w:pPr>
      <w:r>
        <w:t xml:space="preserve">По данным платформ HH.ru и «Хабр Карьера», средний рост заработных плат в сфере IT в 2024–2025 гг. составил</w:t>
      </w:r>
      <w:r>
        <w:t xml:space="preserve"> </w:t>
      </w:r>
      <w:r>
        <w:rPr>
          <w:bCs/>
          <w:b/>
        </w:rPr>
        <w:t xml:space="preserve">18–22%</w:t>
      </w:r>
      <w:r>
        <w:t xml:space="preserve"> </w:t>
      </w:r>
      <w:r>
        <w:t xml:space="preserve">в годовом выражении. Дефицит специалистов в области промышленной автоматизации (SCADA, АСУ ТП, ИБ КИИ) является ещё более выраженным — рост ЗП в данном сегменте достигает</w:t>
      </w:r>
      <w:r>
        <w:t xml:space="preserve"> </w:t>
      </w:r>
      <w:r>
        <w:rPr>
          <w:bCs/>
          <w:b/>
        </w:rPr>
        <w:t xml:space="preserve">25–30%</w:t>
      </w:r>
      <w:r>
        <w:t xml:space="preserve">.</w:t>
      </w:r>
    </w:p>
    <w:bookmarkEnd w:id="32"/>
    <w:bookmarkStart w:id="33" w:name="макроэкономические-факторы"/>
    <w:p>
      <w:pPr>
        <w:pStyle w:val="Heading3"/>
      </w:pPr>
      <w:r>
        <w:t xml:space="preserve">4.3. Макроэкономические факторы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Индекс потребительских цен (ИПЦ)</w:t>
      </w:r>
      <w:r>
        <w:t xml:space="preserve"> </w:t>
      </w:r>
      <w:r>
        <w:t xml:space="preserve">по данным Росстата: 2024 год — 7,5% (факт), 2025 год — 6,0–7,0% (прогноз ЦБ РФ);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Ключевая ставка ЦБ РФ</w:t>
      </w:r>
      <w:r>
        <w:t xml:space="preserve"> </w:t>
      </w:r>
      <w:r>
        <w:t xml:space="preserve">— 21% (на март 2026 г.), что увеличивает стоимость заёмного финансирования и банковских гарантий;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Курсовые колебания</w:t>
      </w:r>
      <w:r>
        <w:t xml:space="preserve"> </w:t>
      </w:r>
      <w:r>
        <w:t xml:space="preserve">— часть инфраструктурных компонентов (серверное оборудование, компоненты ЦОД, ряд средств разработки) номинирована в иностранной валюте; ослабление рубля на 12–15% в 2024–2025 гг. напрямую влияет на себестоимость;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Рост тарифов на электроэнергию</w:t>
      </w:r>
      <w:r>
        <w:t xml:space="preserve"> </w:t>
      </w:r>
      <w:r>
        <w:t xml:space="preserve">— +9,1% с 01.07.2025, что увеличивает расходы на эксплуатацию серверной инфраструктуры и ЦОД;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Рост арендных ставок</w:t>
      </w:r>
      <w:r>
        <w:t xml:space="preserve"> </w:t>
      </w:r>
      <w:r>
        <w:t xml:space="preserve">на коммерческую недвижимость в Москве — +12–15% г/г по данным CBRE и Knight Frank.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заключение"/>
    <w:p>
      <w:pPr>
        <w:pStyle w:val="Heading2"/>
      </w:pPr>
      <w:r>
        <w:t xml:space="preserve">5. Заключение</w:t>
      </w:r>
    </w:p>
    <w:p>
      <w:pPr>
        <w:pStyle w:val="FirstParagraph"/>
      </w:pPr>
      <w:r>
        <w:t xml:space="preserve">ООО «Атомик Софт» подтверждает готовность к проведению очной встречи для детального обсуждения представленной калькуляции и ответов на дополнительные вопросы.</w:t>
      </w:r>
    </w:p>
    <w:p>
      <w:pPr>
        <w:pStyle w:val="BodyText"/>
      </w:pPr>
      <w:r>
        <w:t xml:space="preserve">В качестве дополнительной меры мы готовы рассмотреть возможность</w:t>
      </w:r>
      <w:r>
        <w:t xml:space="preserve"> </w:t>
      </w:r>
      <w:r>
        <w:rPr>
          <w:bCs/>
          <w:b/>
        </w:rPr>
        <w:t xml:space="preserve">поэтапной индексации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 полугодие 2026 г.</w:t>
      </w:r>
      <w:r>
        <w:t xml:space="preserve"> </w:t>
      </w:r>
      <w:r>
        <w:t xml:space="preserve">— корректировка на 8%;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II полугодие 2026 г.</w:t>
      </w:r>
      <w:r>
        <w:t xml:space="preserve"> </w:t>
      </w:r>
      <w:r>
        <w:t xml:space="preserve">— корректировка на оставшиеся 7%.</w:t>
      </w:r>
    </w:p>
    <w:p>
      <w:pPr>
        <w:pStyle w:val="BodyText"/>
      </w:pPr>
      <w:r>
        <w:t xml:space="preserve">Такой подход позволит ПАО «Транснефть» равномерно распределить бюджетную нагрузку в течение финансового года.</w:t>
      </w:r>
    </w:p>
    <w:p>
      <w:pPr>
        <w:pStyle w:val="BodyText"/>
      </w:pPr>
      <w:r>
        <w:t xml:space="preserve">Детальная калькуляция с разбивкой по подстатьям прилагается (Приложение 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 уважением,</w:t>
      </w:r>
    </w:p>
    <w:p>
      <w:pPr>
        <w:pStyle w:val="BodyText"/>
      </w:pPr>
      <w:r>
        <w:rPr>
          <w:bCs/>
          <w:b/>
        </w:rPr>
        <w:t xml:space="preserve">[ФИО]</w:t>
      </w:r>
      <w:r>
        <w:t xml:space="preserve"> </w:t>
      </w:r>
      <w:r>
        <w:t xml:space="preserve">[Должность]</w:t>
      </w:r>
      <w:r>
        <w:t xml:space="preserve"> </w:t>
      </w:r>
      <w:r>
        <w:t xml:space="preserve">ООО «Атомик Софт»</w:t>
      </w:r>
    </w:p>
    <w:p>
      <w:pPr>
        <w:pStyle w:val="BodyText"/>
      </w:pPr>
      <w:r>
        <w:t xml:space="preserve">Тел.: +7 (495) 123-45-67</w:t>
      </w:r>
      <w:r>
        <w:t xml:space="preserve"> </w:t>
      </w:r>
      <w:r>
        <w:t xml:space="preserve">E-mail: [email]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Приложение: Детализированная калькуляция затрат на 2024–2026 гг. (Приложение 1) — на 3 л.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2026-03-17T09:28:07Z</dcterms:created>
  <dcterms:modified xsi:type="dcterms:W3CDTF">2026-03-17T09:28:07Z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