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35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5" w:name="X05283d76c57af7fa3f96fb18d3c35aa417a207c"/>
    <w:p>
      <w:pPr>
        <w:pStyle w:val="Heading1"/>
      </w:pPr>
      <w:r>
        <w:t xml:space="preserve">Миграция с AVEVA на Альфа платформу в нефтедобыче: практический подход</w:t>
      </w:r>
    </w:p>
    <w:p>
      <w:pPr>
        <w:pStyle w:val="FirstParagraph"/>
      </w:pPr>
      <w:r>
        <w:t xml:space="preserve">В 2022 году компания AVEVA прекратила продажу лицензий и техническую поддержку на территории России. Для нефтедобывающих предприятий, на диспетчерских пунктах которых работали InTouch, System Platform и Historian, это означало необходимость замены SCADA-системы — без потери функциональности и без остановки добычи.</w:t>
      </w:r>
    </w:p>
    <w:p>
      <w:pPr>
        <w:pStyle w:val="BodyText"/>
      </w:pPr>
      <w:r>
        <w:t xml:space="preserve">Наша команда участвовала в нескольких проектах миграции с AVEVA на Альфа платформу (АО «Атомик Софт») на промысловых объектах Западной Сибири. В этой статье мы делимся практическим опытом: какие решения принимали, с какими сложностями столкнулись и что из этого получилось. Материал рассчитан на инженеров АСУ ТП, проектировщиков и руководителей проектов в нефтедобыче.</w:t>
      </w:r>
    </w:p>
    <w:p>
      <w:pPr>
        <w:pStyle w:val="BodyText"/>
      </w:pPr>
      <w:r>
        <w:t xml:space="preserve">Типовой объект, о котором пойдёт речь, — диспетчерский пункт нефтепромысла (ДП), обслуживающий 50–200 кустовых площадок, с объёмом от 5 000 до 50 000 сигналов, передаваемых по каналам телемеханики (IEC 60870-5-104, Modbus TCP/RTU) и OPC.</w:t>
      </w:r>
    </w:p>
    <w:p>
      <w:r>
        <w:pict>
          <v:rect style="width:0;height:1.5pt" o:hralign="center" o:hrstd="t" o:hr="t"/>
        </w:pict>
      </w:r>
    </w:p>
    <w:bookmarkStart w:id="27" w:name="что-именно-мы-заменяли"/>
    <w:p>
      <w:pPr>
        <w:pStyle w:val="Heading2"/>
      </w:pPr>
      <w:r>
        <w:t xml:space="preserve">Что именно мы заменяли</w:t>
      </w:r>
    </w:p>
    <w:p>
      <w:pPr>
        <w:pStyle w:val="FirstParagraph"/>
      </w:pPr>
      <w:r>
        <w:t xml:space="preserve">Первое, с чего мы начинали каждый проект, — инвентаризация реально работающих компонентов AVEVA. Типовой стек нефтепромысловой SCADA выглядит следующим образом: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InTouch / System Platform</w:t>
      </w:r>
      <w:r>
        <w:t xml:space="preserve"> </w:t>
      </w:r>
      <w:r>
        <w:t xml:space="preserve">— визуализация: мнемосхемы, навигация, управление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Historian (ранее Wonderware Historian)</w:t>
      </w:r>
      <w:r>
        <w:t xml:space="preserve"> </w:t>
      </w:r>
      <w:r>
        <w:t xml:space="preserve">— долговременное хранение исторических данных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Alarm Provider / InTouch Alarms</w:t>
      </w:r>
      <w:r>
        <w:t xml:space="preserve"> </w:t>
      </w:r>
      <w:r>
        <w:t xml:space="preserve">— подсистема тревог и событий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Communication Drivers / OI Server</w:t>
      </w:r>
      <w:r>
        <w:t xml:space="preserve"> </w:t>
      </w:r>
      <w:r>
        <w:t xml:space="preserve">— коммуникации с ПЛК и RTU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Reports / Dream Report</w:t>
      </w:r>
      <w:r>
        <w:t xml:space="preserve"> </w:t>
      </w:r>
      <w:r>
        <w:t xml:space="preserve">— формирование отчётов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AVEVA Application Server (Galaxy)</w:t>
      </w:r>
      <w:r>
        <w:t xml:space="preserve"> </w:t>
      </w:r>
      <w:r>
        <w:t xml:space="preserve">— объектная модель, шаблоны, развёртывание</w:t>
      </w:r>
    </w:p>
    <w:p>
      <w:pPr>
        <w:pStyle w:val="FirstParagraph"/>
      </w:pPr>
      <w:r>
        <w:t xml:space="preserve">Каждый из этих компонентов имеет прямой аналог в Альфа платформе. Принципиальное отличие состоит в архитектурном подходе: в AVEVA компоненты развивались исторически как отдельные продукты (InTouch — одна кодовая база, Historian — другая, System Platform — третья). Альфа платформа, напротив, проектировалась как единая среда с общей информационной моделью и единым внутренним протоколом Alpha.Link для взаимодействия между компонентами. На практике это означает, что при миграции мы не просто заменяем один продукт другим, а переходим к более однородной архитектуре.</w:t>
      </w:r>
    </w:p>
    <w:bookmarkStart w:id="26" w:name="матрица-соответствия-компонентов"/>
    <w:p>
      <w:pPr>
        <w:pStyle w:val="Heading3"/>
      </w:pPr>
      <w:r>
        <w:t xml:space="preserve">Матрица соответствия компонентов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Компонент AVEVA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Аналог в Альфа платформе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InTouch / System Platform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Alpha.HMI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Дизайнер + Визуализатор. Скрипты на Alpha.Om и 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AVEVA Historian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Alpha.Historian 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Собственный NoSQL TSDB. Сжатие LZMA (коэффициент 0.2–0.5)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Alarm Provider / InTouch Alarms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Alpha.Alarms 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Оперативный/исторический режим, квитирование, подавление, агрегатор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 Drivers / OI Server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Alpha.Server 6.4</w:t>
            </w:r>
            <w:r>
              <w:t xml:space="preserve"> </w:t>
            </w:r>
            <w:r>
              <w:t xml:space="preserve">(коммуникационные модули)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Modbus TCP/RTU, IEC 104/101, OPC UA/DA, SNMP, S7, FINS и др.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AVEVA Reports / Dream Report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Alpha.Reports 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Конструктор шаблонов, планировщик, веб-интерфейс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Server (Galaxy)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Alpha.DevStudio 4.1 + Alpha.Domain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объектная модель, типизация, CLI для автоматизации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InTouch Web / Wonderware Online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Alpha.HMI.WebViewer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Публикация через IIS/Apache/Nginx, WebSocket, SSL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ArchestrA 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Alpha.Security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LDAP, аудит, ролевой контроль доступа</w:t>
            </w:r>
          </w:p>
        </w:tc>
      </w:tr>
    </w:tbl>
    <w:p>
      <w:pPr>
        <w:pStyle w:val="BodyText"/>
      </w:pPr>
      <w:r>
        <w:t xml:space="preserve">Общая архитектура миграции представлена на рис. 1: слева — текущая система на базе AVEVA с OI Server, InTouch, Historian и Galaxy Repository; справа — целевая архитектура на Альфа платформе с Alpha.Server, Alpha.HMI, Alpha.Historian и Alpha.DevStudio. Между ними — этап параллельной работы, когда оба сервера подключены к одним и тем же RTU/ПЛК.</w:t>
      </w:r>
    </w:p>
    <w:p>
      <w:pPr>
        <w:pStyle w:val="BodyText"/>
      </w:pPr>
      <w:r>
        <w:rPr>
          <w:bCs/>
          <w:b/>
        </w:rPr>
        <w:t xml:space="preserve">Рис. 1.</w:t>
      </w:r>
      <w:r>
        <w:t xml:space="preserve"> </w:t>
      </w:r>
      <w:r>
        <w:t xml:space="preserve">Архитектура миграции: AVEVA (слева) → параллельная работа → Альфа платформа (справа). Оба сервера подключены к RTU по IEC 104. Данные пишутся в оба историана. Диспетчеры переключаются после 2–4 недель параллельной работы.</w:t>
      </w:r>
    </w:p>
    <w:p>
      <w:pPr>
        <w:pStyle w:val="BodyText"/>
      </w:pPr>
      <w:r>
        <w:rPr>
          <w:iCs/>
          <w:i/>
        </w:rPr>
        <w:t xml:space="preserve">Вариант A (Mermaid):</w:t>
      </w:r>
    </w:p>
    <w:p>
      <w:pPr>
        <w:pStyle w:val="CaptionedFigure"/>
      </w:pPr>
      <w:r>
        <w:drawing>
          <wp:inline>
            <wp:extent cx="5334000" cy="4721157"/>
            <wp:effectExtent b="0" l="0" r="0" t="0"/>
            <wp:docPr descr="Рис. 1 — Mermaid" title="" id="21" name="Picture"/>
            <a:graphic>
              <a:graphicData uri="http://schemas.openxmlformats.org/drawingml/2006/picture">
                <pic:pic>
                  <pic:nvPicPr>
                    <pic:cNvPr descr="fig1-mermaid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21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 — Mermaid</w:t>
      </w:r>
    </w:p>
    <w:p>
      <w:pPr>
        <w:pStyle w:val="BodyText"/>
      </w:pPr>
      <w:r>
        <w:rPr>
          <w:iCs/>
          <w:i/>
        </w:rPr>
        <w:t xml:space="preserve">Вариант B (HTML/CSS):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Рис. 1 — HTML" title="" id="24" name="Picture"/>
            <a:graphic>
              <a:graphicData uri="http://schemas.openxmlformats.org/drawingml/2006/picture">
                <pic:pic>
                  <pic:nvPicPr>
                    <pic:cNvPr descr="fig1-html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1 — HTML</w:t>
      </w:r>
    </w:p>
    <w:p>
      <w:pPr>
        <w:pStyle w:val="BodyText"/>
      </w:pPr>
      <w:r>
        <w:t xml:space="preserve">Эта таблица стала отправной точкой для каждого проекта миграции. Далее мы рассмотрим этапы работ в том порядке, в котором их выполняли.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аудит-с-чего-начинается-миграция"/>
    <w:p>
      <w:pPr>
        <w:pStyle w:val="Heading2"/>
      </w:pPr>
      <w:r>
        <w:t xml:space="preserve">Аудит: с чего начинается миграция</w:t>
      </w:r>
    </w:p>
    <w:bookmarkStart w:id="28" w:name="инвентаризация-сигналов"/>
    <w:p>
      <w:pPr>
        <w:pStyle w:val="Heading3"/>
      </w:pPr>
      <w:r>
        <w:t xml:space="preserve">Инвентаризация сигналов</w:t>
      </w:r>
    </w:p>
    <w:p>
      <w:pPr>
        <w:pStyle w:val="FirstParagraph"/>
      </w:pPr>
      <w:r>
        <w:t xml:space="preserve">Сигнал (тег) — основная единица любой SCADA-системы. В AVEVA теги описаны в Galaxy Repository (System Platform) или в базе тегов InTouch (tagname.db). Нашей задачей было выгрузить полный реестр с характеристиками каждого сигнала:</w:t>
      </w:r>
    </w:p>
    <w:p>
      <w:pPr>
        <w:numPr>
          <w:ilvl w:val="0"/>
          <w:numId w:val="1002"/>
        </w:numPr>
        <w:pStyle w:val="Compact"/>
      </w:pPr>
      <w:r>
        <w:t xml:space="preserve">имя тега, тип данных (discrete, integer, real, string);</w:t>
      </w:r>
    </w:p>
    <w:p>
      <w:pPr>
        <w:numPr>
          <w:ilvl w:val="0"/>
          <w:numId w:val="1002"/>
        </w:numPr>
        <w:pStyle w:val="Compact"/>
      </w:pPr>
      <w:r>
        <w:t xml:space="preserve">источник: OI Server, OPC-сервер, внутренний расчёт;</w:t>
      </w:r>
    </w:p>
    <w:p>
      <w:pPr>
        <w:numPr>
          <w:ilvl w:val="0"/>
          <w:numId w:val="1002"/>
        </w:numPr>
        <w:pStyle w:val="Compact"/>
      </w:pPr>
      <w:r>
        <w:t xml:space="preserve">адрес устройства: IP, unit ID, регистр Modbus, IOA для IEC 104;</w:t>
      </w:r>
    </w:p>
    <w:p>
      <w:pPr>
        <w:numPr>
          <w:ilvl w:val="0"/>
          <w:numId w:val="1002"/>
        </w:numPr>
        <w:pStyle w:val="Compact"/>
      </w:pPr>
      <w:r>
        <w:t xml:space="preserve">параметры архивирования: интервал записи, мёртвая зона (deadband);</w:t>
      </w:r>
    </w:p>
    <w:p>
      <w:pPr>
        <w:numPr>
          <w:ilvl w:val="0"/>
          <w:numId w:val="1002"/>
        </w:numPr>
        <w:pStyle w:val="Compact"/>
      </w:pPr>
      <w:r>
        <w:t xml:space="preserve">привязка к тревогам: уставки HiHi/Hi/Lo/LoLo, приоритеты.</w:t>
      </w:r>
    </w:p>
    <w:p>
      <w:pPr>
        <w:pStyle w:val="FirstParagraph"/>
      </w:pPr>
      <w:r>
        <w:t xml:space="preserve">Для выгрузки из System Platform мы использовали утилиту</w:t>
      </w:r>
      <w:r>
        <w:t xml:space="preserve"> </w:t>
      </w:r>
      <w:r>
        <w:rPr>
          <w:rStyle w:val="VerbatimChar"/>
        </w:rPr>
        <w:t xml:space="preserve">aaDumpData</w:t>
      </w:r>
      <w:r>
        <w:t xml:space="preserve"> </w:t>
      </w:r>
      <w:r>
        <w:t xml:space="preserve">и SQL-запросы к Galaxy Repository. Для InTouch — экспорт CSV через WindowMaker. Результат сохраняли в CSV с фиксированными столбцами, пригодными для последующего импорта в Alpha.DevStudio.</w:t>
      </w:r>
    </w:p>
    <w:p>
      <w:pPr>
        <w:pStyle w:val="BodyText"/>
      </w:pPr>
      <w:r>
        <w:t xml:space="preserve">На типовом промысловом объекте (100 кустов, 2–3 скважины на куст) реестр составлял 10 000–30 000 сигналов. Распределение по типам достаточно стабильно: 60–70% дискретных (состояния задвижек, насосов, аварийные сигналы), 25–35% аналоговых (давления, температуры, расходы, уровни), 1–5% строковых и служебных.</w:t>
      </w:r>
    </w:p>
    <w:bookmarkEnd w:id="28"/>
    <w:bookmarkStart w:id="29" w:name="аудит-коммуникаций"/>
    <w:p>
      <w:pPr>
        <w:pStyle w:val="Heading3"/>
      </w:pPr>
      <w:r>
        <w:t xml:space="preserve">Аудит коммуникаций</w:t>
      </w:r>
    </w:p>
    <w:p>
      <w:pPr>
        <w:pStyle w:val="FirstParagraph"/>
      </w:pPr>
      <w:r>
        <w:t xml:space="preserve">Нефтепромысловая SCADA работает с RTU (Remote Terminal Unit) и ПЛК на кустовых площадках через каналы телемеханики. В наших проектах использовались три основных протокола: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IEC 60870-5-104</w:t>
      </w:r>
      <w:r>
        <w:t xml:space="preserve"> </w:t>
      </w:r>
      <w:r>
        <w:t xml:space="preserve">— основной протокол для передачи телеметрии по IP-сетям между ДП и RTU на кустах;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Modbus TCP/RTU</w:t>
      </w:r>
      <w:r>
        <w:t xml:space="preserve"> </w:t>
      </w:r>
      <w:r>
        <w:t xml:space="preserve">— связь с локальными ПЛК: станции управления, блоки дозирования, узлы учёта нефти;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OPC DA/UA</w:t>
      </w:r>
      <w:r>
        <w:t xml:space="preserve"> </w:t>
      </w:r>
      <w:r>
        <w:t xml:space="preserve">— интеграция со сторонними системами: газоанализаторы, системы пожаротушения.</w:t>
      </w:r>
    </w:p>
    <w:p>
      <w:pPr>
        <w:pStyle w:val="FirstParagraph"/>
      </w:pPr>
      <w:r>
        <w:t xml:space="preserve">В AVEVA эти протоколы обеспечивали OI Server (DAServer) или сторонние OPC-серверы (MatrikonOPC, KEPServerEX). Мы документировали перечень каналов связи с адресами устройств, параметры протоколов (ASDU address, COT, IOA для IEC 104; Slave ID, Function Code, Register для Modbus), циклы опроса и тайм-ауты.</w:t>
      </w:r>
    </w:p>
    <w:p>
      <w:pPr>
        <w:pStyle w:val="BodyText"/>
      </w:pPr>
      <w:r>
        <w:t xml:space="preserve">Здесь мы обнаружили первое архитектурное отличие, которое упрощало миграцию. Alpha.Server 6.4 включает встроенные модули IEC-104 Master/Slave и Modbus TCP/RTU Master/Slave. Сторонние OPC-серверы для этих протоколов не нужны. Вместо цепочки «RTU → OPC-сервер → SCADA» мы получали «RTU → Alpha.Server» напрямую. Это сокращало количество компонентов в системе и упрощало диагностику.</w:t>
      </w:r>
    </w:p>
    <w:bookmarkEnd w:id="29"/>
    <w:bookmarkStart w:id="30" w:name="аудит-мнемосхем-и-скриптов"/>
    <w:p>
      <w:pPr>
        <w:pStyle w:val="Heading3"/>
      </w:pPr>
      <w:r>
        <w:t xml:space="preserve">Аудит мнемосхем и скриптов</w:t>
      </w:r>
    </w:p>
    <w:p>
      <w:pPr>
        <w:pStyle w:val="FirstParagraph"/>
      </w:pPr>
      <w:r>
        <w:t xml:space="preserve">Мнемосхемы InTouch (*.win) содержат не только графику, но и скрипты (InTouch QuickScript), анимации и навигационную структуру. Мы оценивали:</w:t>
      </w:r>
    </w:p>
    <w:p>
      <w:pPr>
        <w:numPr>
          <w:ilvl w:val="0"/>
          <w:numId w:val="1004"/>
        </w:numPr>
        <w:pStyle w:val="Compact"/>
      </w:pPr>
      <w:r>
        <w:t xml:space="preserve">количество экранов и их иерархию;</w:t>
      </w:r>
    </w:p>
    <w:p>
      <w:pPr>
        <w:numPr>
          <w:ilvl w:val="0"/>
          <w:numId w:val="1004"/>
        </w:numPr>
        <w:pStyle w:val="Compact"/>
      </w:pPr>
      <w:r>
        <w:t xml:space="preserve">объём скриптовой логики — QuickScript потребует переписывания на Alpha.Om или JavaScript;</w:t>
      </w:r>
    </w:p>
    <w:p>
      <w:pPr>
        <w:numPr>
          <w:ilvl w:val="0"/>
          <w:numId w:val="1004"/>
        </w:numPr>
        <w:pStyle w:val="Compact"/>
      </w:pPr>
      <w:r>
        <w:t xml:space="preserve">наличие ActiveX/COM-компонентов;</w:t>
      </w:r>
    </w:p>
    <w:p>
      <w:pPr>
        <w:numPr>
          <w:ilvl w:val="0"/>
          <w:numId w:val="1004"/>
        </w:numPr>
        <w:pStyle w:val="Compact"/>
      </w:pPr>
      <w:r>
        <w:t xml:space="preserve">графические библиотеки (символы, фейсплейты).</w:t>
      </w:r>
    </w:p>
    <w:p>
      <w:pPr>
        <w:pStyle w:val="FirstParagraph"/>
      </w:pPr>
      <w:r>
        <w:t xml:space="preserve">Попытки автоматически конвертировать мнемосхемы InTouch в формат другой SCADA мы отвергли сразу. Форматы несовместимы, парсинг *.win-файлов приводит к потере анимаций и скриптов. Мнемосхемы пересоздавали — и, забегая вперёд, это оказалось возможностью сделать их значительно лучше.</w:t>
      </w:r>
    </w:p>
    <w:p>
      <w:pPr>
        <w:pStyle w:val="BodyText"/>
      </w:pPr>
      <w:r>
        <w:t xml:space="preserve">Аудит типового промыслового объекта занимал 2–3 недели силами 1–2 инженеров АСУ ТП.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проектирование-в-alpha.devstudio"/>
    <w:p>
      <w:pPr>
        <w:pStyle w:val="Heading2"/>
      </w:pPr>
      <w:r>
        <w:t xml:space="preserve">Проектирование в Alpha.DevStudio</w:t>
      </w:r>
    </w:p>
    <w:p>
      <w:pPr>
        <w:pStyle w:val="FirstParagraph"/>
      </w:pPr>
      <w:r>
        <w:t xml:space="preserve">Alpha.DevStudio 4.1 объединяет то, что в AVEVA разделено между IDE Galaxy (объектная модель), WindowMaker (мнемосхемы) и инструментами развёртывания.</w:t>
      </w:r>
    </w:p>
    <w:bookmarkStart w:id="38" w:name="информационная-модель"/>
    <w:p>
      <w:pPr>
        <w:pStyle w:val="Heading3"/>
      </w:pPr>
      <w:r>
        <w:t xml:space="preserve">Информационная модель</w:t>
      </w:r>
    </w:p>
    <w:p>
      <w:pPr>
        <w:pStyle w:val="FirstParagraph"/>
      </w:pPr>
      <w:r>
        <w:t xml:space="preserve">Мы начинали с построения иерархии объектов, отражающей структуру промысла:</w:t>
      </w:r>
    </w:p>
    <w:p>
      <w:pPr>
        <w:pStyle w:val="SourceCode"/>
      </w:pPr>
      <w:r>
        <w:rPr>
          <w:rStyle w:val="VerbatimChar"/>
        </w:rPr>
        <w:t xml:space="preserve">Промысел</w:t>
      </w:r>
      <w:r>
        <w:br/>
      </w:r>
      <w:r>
        <w:rPr>
          <w:rStyle w:val="VerbatimChar"/>
        </w:rPr>
        <w:t xml:space="preserve">├── ЦДНГ-1</w:t>
      </w:r>
      <w:r>
        <w:br/>
      </w:r>
      <w:r>
        <w:rPr>
          <w:rStyle w:val="VerbatimChar"/>
        </w:rPr>
        <w:t xml:space="preserve">│   ├── ДНС-1</w:t>
      </w:r>
      <w:r>
        <w:br/>
      </w:r>
      <w:r>
        <w:rPr>
          <w:rStyle w:val="VerbatimChar"/>
        </w:rPr>
        <w:t xml:space="preserve">│   │   ├── Насос_1 (тип: ЦНС)</w:t>
      </w:r>
      <w:r>
        <w:br/>
      </w:r>
      <w:r>
        <w:rPr>
          <w:rStyle w:val="VerbatimChar"/>
        </w:rPr>
        <w:t xml:space="preserve">│   │   ├── Насос_2 (тип: ЦНС)</w:t>
      </w:r>
      <w:r>
        <w:br/>
      </w:r>
      <w:r>
        <w:rPr>
          <w:rStyle w:val="VerbatimChar"/>
        </w:rPr>
        <w:t xml:space="preserve">│   │   └── Сепаратор_1 (тип: НГС)</w:t>
      </w:r>
      <w:r>
        <w:br/>
      </w:r>
      <w:r>
        <w:rPr>
          <w:rStyle w:val="VerbatimChar"/>
        </w:rPr>
        <w:t xml:space="preserve">│   ├── КП-101</w:t>
      </w:r>
      <w:r>
        <w:br/>
      </w:r>
      <w:r>
        <w:rPr>
          <w:rStyle w:val="VerbatimChar"/>
        </w:rPr>
        <w:t xml:space="preserve">│   │   ├── Скважина_1 (тип: ШГН)</w:t>
      </w:r>
      <w:r>
        <w:br/>
      </w:r>
      <w:r>
        <w:rPr>
          <w:rStyle w:val="VerbatimChar"/>
        </w:rPr>
        <w:t xml:space="preserve">│   │   ├── Скважина_2 (тип: ЭЦН)</w:t>
      </w:r>
      <w:r>
        <w:br/>
      </w:r>
      <w:r>
        <w:rPr>
          <w:rStyle w:val="VerbatimChar"/>
        </w:rPr>
        <w:t xml:space="preserve">│   │   └── АГЗУ (тип: АГЗУ)</w:t>
      </w:r>
      <w:r>
        <w:br/>
      </w:r>
      <w:r>
        <w:rPr>
          <w:rStyle w:val="VerbatimChar"/>
        </w:rPr>
        <w:t xml:space="preserve">│   ├── КП-102</w:t>
      </w:r>
      <w:r>
        <w:br/>
      </w:r>
      <w:r>
        <w:rPr>
          <w:rStyle w:val="VerbatimChar"/>
        </w:rPr>
        <w:t xml:space="preserve">│   │   └── ...</w:t>
      </w:r>
      <w:r>
        <w:br/>
      </w:r>
      <w:r>
        <w:rPr>
          <w:rStyle w:val="VerbatimChar"/>
        </w:rPr>
        <w:t xml:space="preserve">│   └── УПН-1</w:t>
      </w:r>
      <w:r>
        <w:br/>
      </w:r>
      <w:r>
        <w:rPr>
          <w:rStyle w:val="VerbatimChar"/>
        </w:rPr>
        <w:t xml:space="preserve">└── ЦДНГ-2</w:t>
      </w:r>
      <w:r>
        <w:br/>
      </w:r>
      <w:r>
        <w:rPr>
          <w:rStyle w:val="VerbatimChar"/>
        </w:rPr>
        <w:t xml:space="preserve">    └── ...</w:t>
      </w:r>
    </w:p>
    <w:p>
      <w:pPr>
        <w:pStyle w:val="FirstParagraph"/>
      </w:pPr>
      <w:r>
        <w:t xml:space="preserve">Каждый тип (ШГН, ЭЦН, АГЗУ, ЦНС, НГС) — объект DevStudio с набором сигналов, формул, процедур и привязок к коммуникациям. Мы создавали тип один раз и тиражировали его на сотни экземпляров.</w:t>
      </w:r>
    </w:p>
    <w:p>
      <w:pPr>
        <w:pStyle w:val="BodyText"/>
      </w:pPr>
      <w:r>
        <w:t xml:space="preserve">Принципиальное отличие от AVEVA System Platform: в Galaxy шаблон (Template) привязан к конкретному типу объекта — AppEngine, Area, Device Integration Object. В Alpha.DevStudio объект — универсальная сущность. Нет жёсткого разделения на «платформенные» и «пользовательские» объекты. Все объекты равноправны, что упрощает проектирование (рис. 2).</w:t>
      </w:r>
    </w:p>
    <w:p>
      <w:pPr>
        <w:pStyle w:val="BodyText"/>
      </w:pPr>
      <w:r>
        <w:rPr>
          <w:bCs/>
          <w:b/>
        </w:rPr>
        <w:t xml:space="preserve">Рис. 2.</w:t>
      </w:r>
      <w:r>
        <w:t xml:space="preserve"> </w:t>
      </w:r>
      <w:r>
        <w:t xml:space="preserve">Информационная модель промысла в Alpha.DevStudio: иерархия объектов (Промысел → ЦДНГ → ДНС/КП/УПН), каждый объект содержит сигналы, формулы, привязки к коммуникациям. Типы (ШГН, ЭЦН, АГЗУ) создаются один раз и тиражируются.</w:t>
      </w:r>
    </w:p>
    <w:p>
      <w:pPr>
        <w:pStyle w:val="BodyText"/>
      </w:pPr>
      <w:r>
        <w:rPr>
          <w:iCs/>
          <w:i/>
        </w:rPr>
        <w:t xml:space="preserve">Вариант A (Mermaid):</w:t>
      </w:r>
    </w:p>
    <w:p>
      <w:pPr>
        <w:pStyle w:val="CaptionedFigure"/>
      </w:pPr>
      <w:r>
        <w:drawing>
          <wp:inline>
            <wp:extent cx="5334000" cy="1086841"/>
            <wp:effectExtent b="0" l="0" r="0" t="0"/>
            <wp:docPr descr="Рис. 2 — Mermaid" title="" id="33" name="Picture"/>
            <a:graphic>
              <a:graphicData uri="http://schemas.openxmlformats.org/drawingml/2006/picture">
                <pic:pic>
                  <pic:nvPicPr>
                    <pic:cNvPr descr="fig2-mermaid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868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 — Mermaid</w:t>
      </w:r>
    </w:p>
    <w:p>
      <w:pPr>
        <w:pStyle w:val="BodyText"/>
      </w:pPr>
      <w:r>
        <w:rPr>
          <w:iCs/>
          <w:i/>
        </w:rPr>
        <w:t xml:space="preserve">Вариант B (HTML/CSS):</w:t>
      </w:r>
    </w:p>
    <w:p>
      <w:pPr>
        <w:pStyle w:val="CaptionedFigure"/>
      </w:pPr>
      <w:r>
        <w:drawing>
          <wp:inline>
            <wp:extent cx="5334000" cy="3556000"/>
            <wp:effectExtent b="0" l="0" r="0" t="0"/>
            <wp:docPr descr="Рис. 2 — HTML" title="" id="36" name="Picture"/>
            <a:graphic>
              <a:graphicData uri="http://schemas.openxmlformats.org/drawingml/2006/picture">
                <pic:pic>
                  <pic:nvPicPr>
                    <pic:cNvPr descr="fig2-html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Рис. 2 — HTML</w:t>
      </w:r>
    </w:p>
    <w:bookmarkEnd w:id="38"/>
    <w:bookmarkStart w:id="39" w:name="настройка-коммуникаций"/>
    <w:p>
      <w:pPr>
        <w:pStyle w:val="Heading3"/>
      </w:pPr>
      <w:r>
        <w:t xml:space="preserve">Настройка коммуникаций</w:t>
      </w:r>
    </w:p>
    <w:p>
      <w:pPr>
        <w:pStyle w:val="FirstParagraph"/>
      </w:pPr>
      <w:r>
        <w:t xml:space="preserve">Для каждого канала связи мы создавали логический адаптер в DevStudio.</w:t>
      </w:r>
    </w:p>
    <w:p>
      <w:pPr>
        <w:pStyle w:val="BodyText"/>
      </w:pPr>
      <w:r>
        <w:rPr>
          <w:bCs/>
          <w:b/>
        </w:rPr>
        <w:t xml:space="preserve">IEC 60870-5-104 (телемеханика с кустов).</w:t>
      </w:r>
      <w:r>
        <w:t xml:space="preserve"> </w:t>
      </w:r>
      <w:r>
        <w:t xml:space="preserve">Модуль IEC-104 Master в составе Alpha.Server. Настройка: IP-адрес RTU, ASDU address, k/w параметры, тайм-ауты. Карта адресов: IOA → сигнал Alpha.Server. Поддерживаются General Interrogation, спорадическая передача, команды Single/Double Command.</w:t>
      </w:r>
    </w:p>
    <w:p>
      <w:pPr>
        <w:pStyle w:val="BodyText"/>
      </w:pPr>
      <w:r>
        <w:rPr>
          <w:bCs/>
          <w:b/>
        </w:rPr>
        <w:t xml:space="preserve">Modbus TCP (локальные ПЛК).</w:t>
      </w:r>
      <w:r>
        <w:t xml:space="preserve"> </w:t>
      </w:r>
      <w:r>
        <w:t xml:space="preserve">Модуль Modbus TCP Master. Настройка: IP, Unit ID, Function Code, Start Register, Quantity. Для оптимизации трафика мы разделяли сигналы по категориям данных: быстрые (аварийные, защиты) — цикл 1 с, нормальные — 5 с, медленные (температура грунта, уровень в резервуаре) — 30 с.</w:t>
      </w:r>
    </w:p>
    <w:p>
      <w:pPr>
        <w:pStyle w:val="BodyText"/>
      </w:pPr>
      <w:r>
        <w:t xml:space="preserve">Карту адресов Modbus при миграции с AVEVA OI Server (DASModbusTCP) удавалось перенести почти один к одному. Формат описания адресов различается, но суть та же: Slave ID + Register + тип данных. Для массового импорта мы использовали CLI DevStudio:</w:t>
      </w:r>
    </w:p>
    <w:p>
      <w:pPr>
        <w:pStyle w:val="SourceCode"/>
      </w:pPr>
      <w:r>
        <w:rPr>
          <w:rStyle w:val="ExtensionTok"/>
        </w:rPr>
        <w:t xml:space="preserve">devstudio.cli.exe</w:t>
      </w:r>
      <w:r>
        <w:rPr>
          <w:rStyle w:val="NormalTok"/>
        </w:rPr>
        <w:t xml:space="preserve"> compile </w:t>
      </w:r>
      <w:r>
        <w:rPr>
          <w:rStyle w:val="AttributeTok"/>
        </w:rPr>
        <w:t xml:space="preserve">--solution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"Промысел.asln"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Release</w:t>
      </w:r>
    </w:p>
    <w:bookmarkEnd w:id="39"/>
    <w:bookmarkStart w:id="40" w:name="настройка-архивирования"/>
    <w:p>
      <w:pPr>
        <w:pStyle w:val="Heading3"/>
      </w:pPr>
      <w:r>
        <w:t xml:space="preserve">Настройка архивирования</w:t>
      </w:r>
    </w:p>
    <w:p>
      <w:pPr>
        <w:pStyle w:val="FirstParagraph"/>
      </w:pPr>
      <w:r>
        <w:t xml:space="preserve">Alpha.Historian 4.0 заменяет AVEVA Historian. Мы уделяли этому этапу особое внимание, потому что исторические данные — один из главных активов любой SCADA-системы.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AVEVA Historian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Alpha.Historian 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Формат хранения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Проприетарный (*.his)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Формат 4x (журнал транзакций) или 3x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Движок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SQL-based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Собственный NoSQL TSDB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Сжатие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Swinging Door + lossy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LZMA (коэффициент 0.2–0.5)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конфигурации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среднем 800 000 записей/с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чтения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Зависит от конфигурации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среднем 1 600 000 записей/с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Кроссплатформенность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Windows + Linux (Astra, РЕД ОС, Альт, Ubuntu)</w:t>
            </w:r>
          </w:p>
        </w:tc>
      </w:tr>
    </w:tbl>
    <w:p>
      <w:pPr>
        <w:pStyle w:val="BodyText"/>
      </w:pPr>
      <w:r>
        <w:t xml:space="preserve">Важный нюанс: в AVEVA Historian используется Swinging Door Trending с lossy-сжатием — часть точек теряется уже при записи. Alpha.Historian по умолчанию хранит все точки и применяет LZMA-сжатие на уровне файлов. Мы пересматривали политику записи для каждого проекта: для большинства промысловых сигналов мёртвая зона 0.5–1% от диапазона и минимальный интервал 1–5 секунд давали оптимальный баланс между полнотой данных и объёмом хранения.</w:t>
      </w:r>
    </w:p>
    <w:p>
      <w:pPr>
        <w:pStyle w:val="BodyText"/>
      </w:pPr>
      <w:r>
        <w:t xml:space="preserve">Для оценки дискового пространства Alpha.Historian 4.0 использует формулу:</w:t>
      </w:r>
    </w:p>
    <w:p>
      <w:pPr>
        <w:pStyle w:val="SourceCode"/>
      </w:pPr>
      <w:r>
        <w:rPr>
          <w:rStyle w:val="VerbatimChar"/>
        </w:rPr>
        <w:t xml:space="preserve">DatabaseSize = StorageDepth × ΣSource.VolumePerDay</w:t>
      </w:r>
    </w:p>
    <w:p>
      <w:pPr>
        <w:pStyle w:val="FirstParagraph"/>
      </w:pPr>
      <w:r>
        <w:t xml:space="preserve">На 20 000 сигналов при записи каждые 5 секунд и глубине 1 год мы получали 200–400 ГБ в формате 4x.</w:t>
      </w:r>
    </w:p>
    <w:bookmarkEnd w:id="40"/>
    <w:bookmarkStart w:id="41" w:name="перенос-исторических-данных"/>
    <w:p>
      <w:pPr>
        <w:pStyle w:val="Heading3"/>
      </w:pPr>
      <w:r>
        <w:t xml:space="preserve">Перенос исторических данных</w:t>
      </w:r>
    </w:p>
    <w:p>
      <w:pPr>
        <w:pStyle w:val="FirstParagraph"/>
      </w:pPr>
      <w:r>
        <w:t xml:space="preserve">Отдельная задача — что делать с накопленными архивами AVEVA Historian. Мы рассматривали три варианта: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Оставить AVEVA Historian в режиме «только чтение».</w:t>
      </w:r>
      <w:r>
        <w:t xml:space="preserve"> </w:t>
      </w:r>
      <w:r>
        <w:t xml:space="preserve">Старые данные доступны через OPC HDA или SQL, новые пишутся в Alpha.Historian. Минимум усилий, но нужно поддерживать старый сервер.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Экспорт через OPC HDA → импорт в Alpha.Historian.</w:t>
      </w:r>
      <w:r>
        <w:t xml:space="preserve"> </w:t>
      </w:r>
      <w:r>
        <w:t xml:space="preserve">Alpha.Server включает модуль OPC HDA Client. Можно организовать фоновую выгрузку порциями.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Экспорт в CSV/SQL → загрузка в PostgreSQL → Alpha.RMap.</w:t>
      </w:r>
      <w:r>
        <w:t xml:space="preserve"> </w:t>
      </w:r>
      <w:r>
        <w:t xml:space="preserve">Если AVEVA Historian выгружен в SQL, данные загружаются в PostgreSQL и становятся доступны через SQL-интерфейс Alpha.RMap.</w:t>
      </w:r>
    </w:p>
    <w:p>
      <w:pPr>
        <w:pStyle w:val="FirstParagraph"/>
      </w:pPr>
      <w:r>
        <w:t xml:space="preserve">На практике для промыслового объекта с 3–5 годами истории мы выбирали вариант 1 на переходный период (6–12 месяцев), затем переходили к варианту 2 для критичных сигналов.</w:t>
      </w:r>
    </w:p>
    <w:bookmarkEnd w:id="41"/>
    <w:bookmarkStart w:id="42" w:name="резервирование"/>
    <w:p>
      <w:pPr>
        <w:pStyle w:val="Heading3"/>
      </w:pPr>
      <w:r>
        <w:t xml:space="preserve">Резервирование</w:t>
      </w:r>
    </w:p>
    <w:p>
      <w:pPr>
        <w:pStyle w:val="FirstParagraph"/>
      </w:pPr>
      <w:r>
        <w:t xml:space="preserve">Для нефтедобывающих объектов резервирование SCADA-сервера — обязательное требование. В AVEVA System Platform резервирование строилось на паре Redundant Application Server с синхронизацией через Galaxy.</w:t>
      </w:r>
    </w:p>
    <w:p>
      <w:pPr>
        <w:pStyle w:val="BodyText"/>
      </w:pPr>
      <w:r>
        <w:t xml:space="preserve">В Альфа платформе резервирование реализовано на основе Master-Slave репликации с использованием журнала транзакций — центрального высокопроизводительного тракта для обмена событиями между модулями Alpha.Server. Все события внутри сервера рассматриваются как транзакции, выстроенные в строгую последовательность. Журнал непрерывно реплицируется с Master на Slave, обеспечивая идентичность состояний резервной пары.</w:t>
      </w:r>
    </w:p>
    <w:p>
      <w:pPr>
        <w:pStyle w:val="BodyText"/>
      </w:pPr>
      <w:r>
        <w:t xml:space="preserve">Принципиальное отличие от предыдущей модели (и от многих конкурентов): Slave-сервер не дублирует вычисления. Генерация событий и все вычисления производятся только на Master, а вычисленные значения передаются на Slave через журнал транзакций. Это сокращает потребление вычислительных ресурсов и исключает расхождение состояний.</w:t>
      </w:r>
    </w:p>
    <w:p>
      <w:pPr>
        <w:pStyle w:val="BodyText"/>
      </w:pPr>
      <w:r>
        <w:t xml:space="preserve">При штатном резервном переходе (инициированном оператором или при потере Master связи с полем) гарантируется возобновление обработки транзакций на новом Master с позиции, следующей за последней обработанной старым Master. На типовых конфигурациях (десятки тысяч сигналов) инициализация Slave проходит за доли секунды.</w:t>
      </w:r>
    </w:p>
    <w:p>
      <w:pPr>
        <w:pStyle w:val="BodyText"/>
      </w:pPr>
      <w:r>
        <w:t xml:space="preserve">При нештатном сценарии (Slave теряет связь с Master) Slave переходит в режим «аварийного» Master и продолжает обработку. После восстановления связи реплики самостоятельно согласовывают состояния через этап инициализации.</w:t>
      </w:r>
    </w:p>
    <w:p>
      <w:pPr>
        <w:pStyle w:val="BodyText"/>
      </w:pPr>
      <w:r>
        <w:t xml:space="preserve">Для промысловых объектов с требованием непрерывности это критично: мы ни разу не наблюдали потери данных при штатных переходах, а при нештатных потери ограничивались временем определения отсутствия связи.</w:t>
      </w:r>
    </w:p>
    <w:p>
      <w:pPr>
        <w:pStyle w:val="BodyText"/>
      </w:pPr>
      <w:r>
        <w:t xml:space="preserve">Дополнительно Альфа платформа реализует</w:t>
      </w:r>
      <w:r>
        <w:t xml:space="preserve"> </w:t>
      </w:r>
      <w:r>
        <w:rPr>
          <w:bCs/>
          <w:b/>
        </w:rPr>
        <w:t xml:space="preserve">файловую буферизацию</w:t>
      </w:r>
      <w:r>
        <w:t xml:space="preserve"> </w:t>
      </w:r>
      <w:r>
        <w:t xml:space="preserve">потоков данных между узлами. При разрыве связи между Alpha.Server и Alpha.Historian данные сохраняются в локальном буфере на диске и передаются после восстановления соединения. Буфер не требует установки дополнительного ПО — используется собственный бинарный формат. На нефтепромыслах с нестабильными каналами связи (радиорелейные линии, спутник) этот механизм обеспечивал сохранность данных даже при многочасовых разрывах.</w:t>
      </w:r>
    </w:p>
    <w:bookmarkEnd w:id="42"/>
    <w:bookmarkStart w:id="43" w:name="тревожная-сигнализация"/>
    <w:p>
      <w:pPr>
        <w:pStyle w:val="Heading3"/>
      </w:pPr>
      <w:r>
        <w:t xml:space="preserve">Тревожная сигнализация</w:t>
      </w:r>
    </w:p>
    <w:p>
      <w:pPr>
        <w:pStyle w:val="FirstParagraph"/>
      </w:pPr>
      <w:r>
        <w:t xml:space="preserve">Подсистема тревог — критически важный компонент для нефтедобычи. Аварийное превышение давления в выкидной линии или остановка ЭЦН требуют немедленной реакции диспетчера.</w:t>
      </w:r>
    </w:p>
    <w:p>
      <w:pPr>
        <w:pStyle w:val="BodyText"/>
      </w:pPr>
      <w:r>
        <w:t xml:space="preserve">В AVEVA тревоги настраиваются на уровне тегов (InTouch Alarm Limits) или через Alarm Provider в System Platform. В Альфа платформе тревоги реализованы через Alpha.Alarms 3.30, тесно интегрированный с Alpha.Server. Механизм генерации событий в Alpha.DevStudio оказался гибче: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уровню</w:t>
      </w:r>
      <w:r>
        <w:t xml:space="preserve"> </w:t>
      </w:r>
      <w:r>
        <w:t xml:space="preserve">— классический HiHi/Hi/Lo/LoLo с мёртвой зоной и задержкой срабатывания. Прямой аналог InTouch Alarm Limits.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отклонению</w:t>
      </w:r>
      <w:r>
        <w:t xml:space="preserve"> </w:t>
      </w:r>
      <w:r>
        <w:t xml:space="preserve">— выход за пределы от уставки (setpoint ± deviation). Полезно для контуров регулирования.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Логическое условие</w:t>
      </w:r>
      <w:r>
        <w:t xml:space="preserve"> </w:t>
      </w:r>
      <w:r>
        <w:t xml:space="preserve">— произвольная формула на Alpha.Om: «давление на выходе насоса &lt; давления на входе + 0.5 МПа И насос в работе». В AVEVA для этого потребовался бы расчётный тег + alarm limit.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перечислению</w:t>
      </w:r>
      <w:r>
        <w:t xml:space="preserve"> </w:t>
      </w:r>
      <w:r>
        <w:t xml:space="preserve">— конкретное значение дискретного сигнала порождает событие с заданным текстом и важностью.</w:t>
      </w:r>
    </w:p>
    <w:p>
      <w:pPr>
        <w:pStyle w:val="FirstParagraph"/>
      </w:pPr>
      <w:r>
        <w:t xml:space="preserve">Каждому событию назначается важность (1–1000), разбитая на группы: «Прочие», «Значительные» (334–666), «Особой важности» (667–1000). Диапазоны настраиваются пользователем.</w:t>
      </w:r>
    </w:p>
    <w:p>
      <w:pPr>
        <w:pStyle w:val="BodyText"/>
      </w:pPr>
      <w:r>
        <w:t xml:space="preserve">Отдельно отметим</w:t>
      </w:r>
      <w:r>
        <w:t xml:space="preserve"> </w:t>
      </w:r>
      <w:r>
        <w:rPr>
          <w:bCs/>
          <w:b/>
        </w:rPr>
        <w:t xml:space="preserve">подавление</w:t>
      </w:r>
      <w:r>
        <w:t xml:space="preserve"> </w:t>
      </w:r>
      <w:r>
        <w:t xml:space="preserve">(shelving). При плановом ремонте куста десятки тревог от отключённого оборудования засоряют экран диспетчера. Alpha.Alarms поддерживает подавление как штатную функцию с логированием: кто подавил, когда, на какой срок.</w:t>
      </w:r>
    </w:p>
    <w:p>
      <w:pPr>
        <w:pStyle w:val="BodyText"/>
      </w:pPr>
      <w:r>
        <w:t xml:space="preserve">Ещё одна возможность, которую мы активно использовали, —</w:t>
      </w:r>
      <w:r>
        <w:t xml:space="preserve"> </w:t>
      </w:r>
      <w:r>
        <w:rPr>
          <w:bCs/>
          <w:b/>
        </w:rPr>
        <w:t xml:space="preserve">агрегатор событий</w:t>
      </w:r>
      <w:r>
        <w:t xml:space="preserve">. Он формирует обобщённую информацию по ветке дерева сигналов: количество активных тревог, максимальная важность, наличие неквитированных. На мнемосхеме общего плана промысла каждый куст отображался одним индикатором: зелёный — норма, жёлтый — предупреждения, красный — аварии.</w:t>
      </w:r>
    </w:p>
    <w:bookmarkEnd w:id="43"/>
    <w:bookmarkStart w:id="44" w:name="отчётность"/>
    <w:p>
      <w:pPr>
        <w:pStyle w:val="Heading3"/>
      </w:pPr>
      <w:r>
        <w:t xml:space="preserve">Отчётность</w:t>
      </w:r>
    </w:p>
    <w:p>
      <w:pPr>
        <w:pStyle w:val="FirstParagraph"/>
      </w:pPr>
      <w:r>
        <w:t xml:space="preserve">Alpha.Reports 1.1 заменяет AVEVA Reports / Dream Report. Типовые отчёты для нефтепромысла:</w:t>
      </w:r>
    </w:p>
    <w:p>
      <w:pPr>
        <w:numPr>
          <w:ilvl w:val="0"/>
          <w:numId w:val="1007"/>
        </w:numPr>
        <w:pStyle w:val="Compact"/>
      </w:pPr>
      <w:r>
        <w:t xml:space="preserve">суточный рапорт диспетчера (добыча нефти/жидкости/газа по кустам);</w:t>
      </w:r>
    </w:p>
    <w:p>
      <w:pPr>
        <w:numPr>
          <w:ilvl w:val="0"/>
          <w:numId w:val="1007"/>
        </w:numPr>
        <w:pStyle w:val="Compact"/>
      </w:pPr>
      <w:r>
        <w:t xml:space="preserve">оперативная сводка по фонду скважин;</w:t>
      </w:r>
    </w:p>
    <w:p>
      <w:pPr>
        <w:numPr>
          <w:ilvl w:val="0"/>
          <w:numId w:val="1007"/>
        </w:numPr>
        <w:pStyle w:val="Compact"/>
      </w:pPr>
      <w:r>
        <w:t xml:space="preserve">журнал аварийных ситуаций за смену;</w:t>
      </w:r>
    </w:p>
    <w:p>
      <w:pPr>
        <w:numPr>
          <w:ilvl w:val="0"/>
          <w:numId w:val="1007"/>
        </w:numPr>
        <w:pStyle w:val="Compact"/>
      </w:pPr>
      <w:r>
        <w:t xml:space="preserve">отчёт по простоям оборудования.</w:t>
      </w:r>
    </w:p>
    <w:p>
      <w:pPr>
        <w:pStyle w:val="FirstParagraph"/>
      </w:pPr>
      <w:r>
        <w:t xml:space="preserve">Данные для отчётов берутся из Alpha.Historian через Alpha.RMap, который предоставляет SQL-интерфейс к оперативным и историческим данным платформы.</w:t>
      </w:r>
    </w:p>
    <w:p>
      <w:pPr>
        <w:pStyle w:val="BodyText"/>
      </w:pPr>
      <w:r>
        <w:t xml:space="preserve">Мы перенесли логику расчёта показателей добычи из Dream Report на уровень Alpha.Server (формулы сигналов). Отчёт только визуализирует готовые расчётные значения, а не вычисляет их заново при генерации. Это ускорило формирование отчётов и обеспечило единственный источник правды для всех потребителей данных.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8" w:name="разработка-мнемосхем"/>
    <w:p>
      <w:pPr>
        <w:pStyle w:val="Heading2"/>
      </w:pPr>
      <w:r>
        <w:t xml:space="preserve">Разработка мнемосхем</w:t>
      </w:r>
    </w:p>
    <w:p>
      <w:pPr>
        <w:pStyle w:val="FirstParagraph"/>
      </w:pPr>
      <w:r>
        <w:t xml:space="preserve">Мнемосхемы — самая трудоёмкая часть миграции. Автоматическая конвертация из InTouch невозможна, но типизация позволяет существенно сократить трудозатраты.</w:t>
      </w:r>
    </w:p>
    <w:bookmarkStart w:id="46" w:name="библиотека-типовых-элементов"/>
    <w:p>
      <w:pPr>
        <w:pStyle w:val="Heading3"/>
      </w:pPr>
      <w:r>
        <w:t xml:space="preserve">Библиотека типовых элементов</w:t>
      </w:r>
    </w:p>
    <w:p>
      <w:pPr>
        <w:pStyle w:val="FirstParagraph"/>
      </w:pPr>
      <w:r>
        <w:t xml:space="preserve">Для нефтепромысла набор типовых мнемосхем ограничен: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Кустовая площадка</w:t>
      </w:r>
      <w:r>
        <w:t xml:space="preserve"> </w:t>
      </w:r>
      <w:r>
        <w:t xml:space="preserve">— скважины (ШГН/ЭЦН/ФА), АГЗУ, замерные установки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ДНС</w:t>
      </w:r>
      <w:r>
        <w:t xml:space="preserve"> </w:t>
      </w:r>
      <w:r>
        <w:t xml:space="preserve">— насосы, сепараторы, ёмкости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УПН</w:t>
      </w:r>
      <w:r>
        <w:t xml:space="preserve"> </w:t>
      </w:r>
      <w:r>
        <w:t xml:space="preserve">— технологическая схема, теплообменники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Узел учёта</w:t>
      </w:r>
      <w:r>
        <w:t xml:space="preserve"> </w:t>
      </w:r>
      <w:r>
        <w:t xml:space="preserve">— расходомеры, вычислители, параметры качества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Общий план промысла</w:t>
      </w:r>
      <w:r>
        <w:t xml:space="preserve"> </w:t>
      </w:r>
      <w:r>
        <w:t xml:space="preserve">— географическая схема с агрегированными состояниями</w:t>
      </w:r>
    </w:p>
    <w:p>
      <w:pPr>
        <w:pStyle w:val="FirstParagraph"/>
      </w:pPr>
      <w:r>
        <w:t xml:space="preserve">В Alpha.HMI 2.0 каждая мнемосхема строится из</w:t>
      </w:r>
      <w:r>
        <w:t xml:space="preserve"> </w:t>
      </w:r>
      <w:r>
        <w:rPr>
          <w:bCs/>
          <w:b/>
        </w:rPr>
        <w:t xml:space="preserve">пользовательских типов</w:t>
      </w:r>
      <w:r>
        <w:t xml:space="preserve"> </w:t>
      </w:r>
      <w:r>
        <w:t xml:space="preserve">— аналог ArchestrA Symbols. Тип «Скважина ЭЦН» содержит графику, анимации, привязки к сигналам через параметры инициализации. Для 200 скважин мы создавали 200 экземпляров одного типа с разными привязками. Время на тиражирование после создания типа — минуты, а не часы.</w:t>
      </w:r>
    </w:p>
    <w:bookmarkEnd w:id="46"/>
    <w:bookmarkStart w:id="47" w:name="скрипты-не-копировать-а-проектировать"/>
    <w:p>
      <w:pPr>
        <w:pStyle w:val="Heading3"/>
      </w:pPr>
      <w:r>
        <w:t xml:space="preserve">Скрипты: не копировать, а проектировать</w:t>
      </w:r>
    </w:p>
    <w:p>
      <w:pPr>
        <w:pStyle w:val="FirstParagraph"/>
      </w:pPr>
      <w:r>
        <w:t xml:space="preserve">InTouch QuickScript — процедурный язык с событийной моделью (OnChange, OnTrue, OnFalse, WhileTrue). При миграции скрипты переписывались на Alpha.Om или JavaScript: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Конструкция InTouch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Реализация в Alpha.HMI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Scripts (OnStartup)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Скрипты инициализации экранной 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 Scripts (WhileShowing)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Процедуры с таймерами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Change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Формулы с автопересчётом при изменении входов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 Scripts (на кнопках)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Обработчики событий на Alpha.Om / JavaScript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QuickFunctions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Пользовательские функции Alpha.Om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ActiveX Method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Вызов внешних функций из DLL/SO</w:t>
            </w:r>
          </w:p>
        </w:tc>
      </w:tr>
    </w:tbl>
    <w:p>
      <w:pPr>
        <w:pStyle w:val="BodyText"/>
      </w:pPr>
      <w:r>
        <w:t xml:space="preserve">Принципиально: мы не переносили скрипты один в один. Значительная часть логики InTouch, реализованной через QuickScript (расчёт средних, интеграция, сигнализация), в Alpha.DevStudio решается штатными средствами — формулами сигналов, условиями генерации событий, таймерами. Перенос «в лоб» создал бы избыточную сложность.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подводные-камни"/>
    <w:p>
      <w:pPr>
        <w:pStyle w:val="Heading2"/>
      </w:pPr>
      <w:r>
        <w:t xml:space="preserve">Подводные камни</w:t>
      </w:r>
    </w:p>
    <w:p>
      <w:pPr>
        <w:pStyle w:val="FirstParagraph"/>
      </w:pPr>
      <w:r>
        <w:t xml:space="preserve">По опыту нескольких проектов мы выделили типичные проблемы, о которых лучше знать заранее.</w:t>
      </w:r>
    </w:p>
    <w:bookmarkStart w:id="49" w:name="различия-в-модели-данных"/>
    <w:p>
      <w:pPr>
        <w:pStyle w:val="Heading3"/>
      </w:pPr>
      <w:r>
        <w:t xml:space="preserve">Различия в модели данных</w:t>
      </w:r>
    </w:p>
    <w:p>
      <w:pPr>
        <w:pStyle w:val="FirstParagraph"/>
      </w:pPr>
      <w:r>
        <w:t xml:space="preserve">В AVEVA System Platform тег — это атрибут объекта Galaxy с расширениями (I/O, History, Alarm, Script). В Альфа платформе сигнал — более простая сущность: значение + качество + метка времени + набор свойств (Properties). Свойства определяют поведение: архивирование (Property 9001), генерацию событий, привязку к коммуникационному модулю (Property 5000 — Address).</w:t>
      </w:r>
    </w:p>
    <w:p>
      <w:pPr>
        <w:pStyle w:val="BodyText"/>
      </w:pPr>
      <w:r>
        <w:t xml:space="preserve">При миграции атрибуты Galaxy, существовавшие «внутри» объектов, превращаются в сигналы Alpha.Server. Разрыв преодолевается грамотной иерархией объектов в DevStudio: каждый объект Galaxy становится объектом DevStudio со своими сигналами, формулами и процедурами, а связи переносятся через сокеты.</w:t>
      </w:r>
    </w:p>
    <w:bookmarkEnd w:id="49"/>
    <w:bookmarkStart w:id="50" w:name="comactivex-компоненты"/>
    <w:p>
      <w:pPr>
        <w:pStyle w:val="Heading3"/>
      </w:pPr>
      <w:r>
        <w:t xml:space="preserve">COM/ActiveX-компоненты</w:t>
      </w:r>
    </w:p>
    <w:p>
      <w:pPr>
        <w:pStyle w:val="FirstParagraph"/>
      </w:pPr>
      <w:r>
        <w:t xml:space="preserve">Промысловые SCADA на AVEVA нередко содержат COM-компоненты: ActiveX-элементы для специализированной визуализации. В Alpha.HMI на Linux COM недоступен. Мы решали это тремя способами: замена на встроенные компоненты Alpha.HMI, подключение Qt-плагинов (Alpha.HMI поддерживает Qt 5.15.2 через CMake) или сохранение конкретного АРМ на Windows, если COM-компонент критичен.</w:t>
      </w:r>
    </w:p>
    <w:bookmarkEnd w:id="50"/>
    <w:bookmarkStart w:id="51" w:name="часовые-пояса"/>
    <w:p>
      <w:pPr>
        <w:pStyle w:val="Heading3"/>
      </w:pPr>
      <w:r>
        <w:t xml:space="preserve">Часовые пояса</w:t>
      </w:r>
    </w:p>
    <w:p>
      <w:pPr>
        <w:pStyle w:val="FirstParagraph"/>
      </w:pPr>
      <w:r>
        <w:t xml:space="preserve">Промысловые объекты могут располагаться в нескольких часовых поясах. И AVEVA Historian, и Alpha.Historian хранят метки в UTC. Проблема возникает на уровне отображения: если RTU на удалённом кусту передаёт время по IEC 104 без указания часового пояса — возникает рассогласование. Мы согласовывали формат меток времени во всех RTU до начала миграции.</w:t>
      </w:r>
    </w:p>
    <w:bookmarkEnd w:id="51"/>
    <w:bookmarkStart w:id="52" w:name="X00a0d2526388490a269cb47bf0774165cdf39fc"/>
    <w:p>
      <w:pPr>
        <w:pStyle w:val="Heading3"/>
      </w:pPr>
      <w:r>
        <w:t xml:space="preserve">Производительность при большом количестве сигналов</w:t>
      </w:r>
    </w:p>
    <w:p>
      <w:pPr>
        <w:pStyle w:val="FirstParagraph"/>
      </w:pPr>
      <w:r>
        <w:t xml:space="preserve">Alpha.Server 6.4 работает с объёмами до 1 000 000 тегов (проверено). Однако при 40 000+ сигналов с циклом опроса 1 секунда нагрузка на Historian становится существенной. Мы рекомендуем:</w:t>
      </w:r>
    </w:p>
    <w:p>
      <w:pPr>
        <w:numPr>
          <w:ilvl w:val="0"/>
          <w:numId w:val="1009"/>
        </w:numPr>
        <w:pStyle w:val="Compact"/>
      </w:pPr>
      <w:r>
        <w:t xml:space="preserve">разделять сигналы по категориям: быстрые (1 с), нормальные (5 с), медленные (30–60 с);</w:t>
      </w:r>
    </w:p>
    <w:p>
      <w:pPr>
        <w:numPr>
          <w:ilvl w:val="0"/>
          <w:numId w:val="1009"/>
        </w:numPr>
        <w:pStyle w:val="Compact"/>
      </w:pPr>
      <w:r>
        <w:t xml:space="preserve">настраивать мёртвую зону для аналоговых сигналов;</w:t>
      </w:r>
    </w:p>
    <w:p>
      <w:pPr>
        <w:numPr>
          <w:ilvl w:val="0"/>
          <w:numId w:val="1009"/>
        </w:numPr>
        <w:pStyle w:val="Compact"/>
      </w:pPr>
      <w:r>
        <w:t xml:space="preserve">размещать Alpha.Historian на отдельном сервере с SSD.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0" w:name="тестирование-и-ввод-в-эксплуатацию"/>
    <w:p>
      <w:pPr>
        <w:pStyle w:val="Heading2"/>
      </w:pPr>
      <w:r>
        <w:t xml:space="preserve">Тестирование и ввод в эксплуатацию</w:t>
      </w:r>
    </w:p>
    <w:bookmarkStart w:id="54" w:name="имитационное-тестирование"/>
    <w:p>
      <w:pPr>
        <w:pStyle w:val="Heading3"/>
      </w:pPr>
      <w:r>
        <w:t xml:space="preserve">Имитационное тестирование</w:t>
      </w:r>
    </w:p>
    <w:p>
      <w:pPr>
        <w:pStyle w:val="FirstParagraph"/>
      </w:pPr>
      <w:r>
        <w:t xml:space="preserve">Alpha.Imitator — встроенный инструмент для имитации технологических процессов. Перед развёртыванием на реальном объекте мы проверяли корректность привязки всех сигналов, работу тревожной сигнализации, запись в Historian, навигацию по мнемосхемам и генерацию отчётов.</w:t>
      </w:r>
    </w:p>
    <w:bookmarkEnd w:id="54"/>
    <w:bookmarkStart w:id="55" w:name="параллельная-работа"/>
    <w:p>
      <w:pPr>
        <w:pStyle w:val="Heading3"/>
      </w:pPr>
      <w:r>
        <w:t xml:space="preserve">Параллельная работа</w:t>
      </w:r>
    </w:p>
    <w:p>
      <w:pPr>
        <w:pStyle w:val="FirstParagraph"/>
      </w:pPr>
      <w:r>
        <w:t xml:space="preserve">На промысловых объектах единственный приемлемый сценарий — параллельная работа двух систем в течение 2–4 недель:</w:t>
      </w:r>
    </w:p>
    <w:p>
      <w:pPr>
        <w:numPr>
          <w:ilvl w:val="0"/>
          <w:numId w:val="1010"/>
        </w:numPr>
        <w:pStyle w:val="Compact"/>
      </w:pPr>
      <w:r>
        <w:t xml:space="preserve">AVEVA остаётся основной системой.</w:t>
      </w:r>
    </w:p>
    <w:p>
      <w:pPr>
        <w:numPr>
          <w:ilvl w:val="0"/>
          <w:numId w:val="1010"/>
        </w:numPr>
        <w:pStyle w:val="Compact"/>
      </w:pPr>
      <w:r>
        <w:t xml:space="preserve">Alpha.Server подключается к тем же RTU/ПЛК параллельно — IEC 104 допускает несколько Master-станций.</w:t>
      </w:r>
    </w:p>
    <w:p>
      <w:pPr>
        <w:numPr>
          <w:ilvl w:val="0"/>
          <w:numId w:val="1010"/>
        </w:numPr>
        <w:pStyle w:val="Compact"/>
      </w:pPr>
      <w:r>
        <w:t xml:space="preserve">Данные пишутся в оба историана одновременно.</w:t>
      </w:r>
    </w:p>
    <w:p>
      <w:pPr>
        <w:numPr>
          <w:ilvl w:val="0"/>
          <w:numId w:val="1010"/>
        </w:numPr>
        <w:pStyle w:val="Compact"/>
      </w:pPr>
      <w:r>
        <w:t xml:space="preserve">Диспетчеры проходят обучение на второй станции.</w:t>
      </w:r>
    </w:p>
    <w:p>
      <w:pPr>
        <w:numPr>
          <w:ilvl w:val="0"/>
          <w:numId w:val="1010"/>
        </w:numPr>
        <w:pStyle w:val="Compact"/>
      </w:pPr>
      <w:r>
        <w:t xml:space="preserve">После подтверждения корректности — переключение.</w:t>
      </w:r>
    </w:p>
    <w:p>
      <w:pPr>
        <w:pStyle w:val="FirstParagraph"/>
      </w:pPr>
      <w:r>
        <w:t xml:space="preserve">Важно: перед подключением второго Master по IEC 104 мы проверяли спецификацию каждого RTU. Некоторые старые RTU поддерживают ограниченное число одновременных TCP-соединений.</w:t>
      </w:r>
    </w:p>
    <w:p>
      <w:pPr>
        <w:pStyle w:val="BodyText"/>
      </w:pPr>
      <w:r>
        <w:t xml:space="preserve">Для Modbus-устройств ситуация сложнее: протокол не предусматривает двух Master на одной шине. Мы использовали OPC-сервер как промежуточный слой (один Master, два клиента) либо временно переключали устройства на IEC 104, если RTU поддерживал оба протокола.</w:t>
      </w:r>
    </w:p>
    <w:bookmarkEnd w:id="55"/>
    <w:bookmarkStart w:id="56" w:name="развёртывание-конфигурации"/>
    <w:p>
      <w:pPr>
        <w:pStyle w:val="Heading3"/>
      </w:pPr>
      <w:r>
        <w:t xml:space="preserve">Развёртывание конфигурации</w:t>
      </w:r>
    </w:p>
    <w:p>
      <w:pPr>
        <w:pStyle w:val="FirstParagraph"/>
      </w:pPr>
      <w:r>
        <w:t xml:space="preserve">Alpha.DevStudio поддерживает удалённое развёртывание через CLI:</w:t>
      </w:r>
    </w:p>
    <w:p>
      <w:pPr>
        <w:pStyle w:val="SourceCode"/>
      </w:pPr>
      <w:r>
        <w:rPr>
          <w:rStyle w:val="ExtensionTok"/>
        </w:rPr>
        <w:t xml:space="preserve">devstudio.cli.exe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--solution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"Промысел.asln"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Release</w:t>
      </w:r>
      <w:r>
        <w:br/>
      </w:r>
      <w:r>
        <w:rPr>
          <w:rStyle w:val="ExtensionTok"/>
        </w:rPr>
        <w:t xml:space="preserve">devstudio.cli.exe</w:t>
      </w:r>
      <w:r>
        <w:rPr>
          <w:rStyle w:val="NormalTok"/>
        </w:rPr>
        <w:t xml:space="preserve"> deploy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192.168.1.10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Release</w:t>
      </w:r>
      <w:r>
        <w:br/>
      </w:r>
      <w:r>
        <w:rPr>
          <w:rStyle w:val="ExtensionTok"/>
        </w:rPr>
        <w:t xml:space="preserve">devstudio.cli.exe</w:t>
      </w:r>
      <w:r>
        <w:rPr>
          <w:rStyle w:val="NormalTok"/>
        </w:rPr>
        <w:t xml:space="preserve"> deploy-commit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192.168.1.10</w:t>
      </w:r>
    </w:p>
    <w:p>
      <w:pPr>
        <w:pStyle w:val="FirstParagraph"/>
      </w:pPr>
      <w:r>
        <w:t xml:space="preserve">В случае проблем — откат:</w:t>
      </w:r>
    </w:p>
    <w:p>
      <w:pPr>
        <w:pStyle w:val="SourceCode"/>
      </w:pPr>
      <w:r>
        <w:rPr>
          <w:rStyle w:val="ExtensionTok"/>
        </w:rPr>
        <w:t xml:space="preserve">devstudio.cli.exe</w:t>
      </w:r>
      <w:r>
        <w:rPr>
          <w:rStyle w:val="NormalTok"/>
        </w:rPr>
        <w:t xml:space="preserve"> deploy-rollback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192.168.1.10</w:t>
      </w:r>
    </w:p>
    <w:p>
      <w:pPr>
        <w:pStyle w:val="FirstParagraph"/>
      </w:pPr>
      <w:r>
        <w:t xml:space="preserve">Версионирование через SVN/Git обеспечивает полную трассируемость изменений. Каждая версия конфигурации видна через</w:t>
      </w:r>
      <w:r>
        <w:t xml:space="preserve"> </w:t>
      </w:r>
      <w:r>
        <w:rPr>
          <w:rStyle w:val="VerbatimChar"/>
        </w:rPr>
        <w:t xml:space="preserve">deploy-status</w:t>
      </w:r>
      <w:r>
        <w:t xml:space="preserve">.</w:t>
      </w:r>
    </w:p>
    <w:bookmarkEnd w:id="56"/>
    <w:bookmarkStart w:id="57" w:name="веб-доступ-и-удалённый-мониторинг"/>
    <w:p>
      <w:pPr>
        <w:pStyle w:val="Heading3"/>
      </w:pPr>
      <w:r>
        <w:t xml:space="preserve">Веб-доступ и удалённый мониторинг</w:t>
      </w:r>
    </w:p>
    <w:p>
      <w:pPr>
        <w:pStyle w:val="FirstParagraph"/>
      </w:pPr>
      <w:r>
        <w:t xml:space="preserve">Нефтепромысловые объекты территориально распределены. Диспетчеры работают на ДП, но руководителям ЦДНГ, технологам и геологам нужен доступ из офиса. Alpha.HMI.WebViewer 2.0 разворачивает HMI-проект как веб-приложение: пользователь открывает мнемосхемы в браузере без установки клиентского ПО. WebSocket обеспечивает оперативное обновление данных, SSL — шифрование, встроенный механизм — восстановление сессий при обрыве связи.</w:t>
      </w:r>
    </w:p>
    <w:p>
      <w:pPr>
        <w:pStyle w:val="BodyText"/>
      </w:pPr>
      <w:r>
        <w:t xml:space="preserve">Для распределённых промыслов с несколькими ДП мы использовали Alpha.AccessPoint — компонент, который агрегирует данные от нескольких Alpha.Server в единую точку доступа с кэшированием. Офисный пользователь подключается к AccessPoint и видит данные всех промыслов в одном интерфейсе.</w:t>
      </w:r>
    </w:p>
    <w:p>
      <w:pPr>
        <w:pStyle w:val="BodyText"/>
      </w:pPr>
      <w:r>
        <w:t xml:space="preserve">Мы создавали отдельный набор обзорных экранов для руководителей: сводные таблицы по добыче, карта промысла с агрегированными индикаторами, ключевые KPI. Это снижало нагрузку на канал связи и соответствовало принципу минимальных привилегий (IEC 62443-3-3, SR 2.1).</w:t>
      </w:r>
    </w:p>
    <w:bookmarkEnd w:id="57"/>
    <w:bookmarkStart w:id="58" w:name="безопасность-и-кии"/>
    <w:p>
      <w:pPr>
        <w:pStyle w:val="Heading3"/>
      </w:pPr>
      <w:r>
        <w:t xml:space="preserve">Безопасность и КИИ</w:t>
      </w:r>
    </w:p>
    <w:p>
      <w:pPr>
        <w:pStyle w:val="FirstParagraph"/>
      </w:pPr>
      <w:r>
        <w:t xml:space="preserve">Нефтедобывающие объекты относятся к критической информационной инфраструктуре (КИИ) по ФЗ-187. Это накладывает конкретные требования к SCADA-системе.</w:t>
      </w:r>
    </w:p>
    <w:p>
      <w:pPr>
        <w:pStyle w:val="BodyText"/>
      </w:pPr>
      <w:r>
        <w:rPr>
          <w:bCs/>
          <w:b/>
        </w:rPr>
        <w:t xml:space="preserve">Контроль доступа.</w:t>
      </w:r>
      <w:r>
        <w:t xml:space="preserve"> </w:t>
      </w:r>
      <w:r>
        <w:t xml:space="preserve">Alpha.Security обеспечивает ролевую модель с интеграцией через LDAP/Active Directory. Каждое действие оператора фиксируется в журнале аудита.</w:t>
      </w:r>
    </w:p>
    <w:p>
      <w:pPr>
        <w:pStyle w:val="BodyText"/>
      </w:pPr>
      <w:r>
        <w:rPr>
          <w:bCs/>
          <w:b/>
        </w:rPr>
        <w:t xml:space="preserve">Аудит.</w:t>
      </w:r>
      <w:r>
        <w:t xml:space="preserve"> </w:t>
      </w:r>
      <w:r>
        <w:t xml:space="preserve">Alpha.Diagnostics (модуль AuditReport) агрегирует журналы компонентов платформы и пересылает их по Syslog, SMTP или OPC — интеграция с корпоративным SIEM.</w:t>
      </w:r>
    </w:p>
    <w:p>
      <w:pPr>
        <w:pStyle w:val="BodyText"/>
      </w:pPr>
      <w:r>
        <w:rPr>
          <w:bCs/>
          <w:b/>
        </w:rPr>
        <w:t xml:space="preserve">Отсутствие зависимости от COM/DCOM.</w:t>
      </w:r>
      <w:r>
        <w:t xml:space="preserve"> </w:t>
      </w:r>
      <w:r>
        <w:t xml:space="preserve">Это не просто техническое удобство. DCOM — один из источников проблем безопасности в промышленных сетях: требует открытия широких диапазонов портов, плохо работает через NAT, создаёт боковые каналы для атак. Alpha.Link работает по TCP, что упрощает настройку межсетевых экранов.</w:t>
      </w:r>
    </w:p>
    <w:p>
      <w:pPr>
        <w:pStyle w:val="BodyText"/>
      </w:pPr>
      <w:r>
        <w:rPr>
          <w:bCs/>
          <w:b/>
        </w:rPr>
        <w:t xml:space="preserve">Linux.</w:t>
      </w:r>
      <w:r>
        <w:t xml:space="preserve"> </w:t>
      </w:r>
      <w:r>
        <w:t xml:space="preserve">Alpha.Server и Alpha.Historian работают на Astra Linux, РЕД ОС, Альт, Ubuntu. Переход на Альфа платформу позволяет одновременно решить две задачи импортозамещения: замену SCADA и замену ОС.</w:t>
      </w:r>
    </w:p>
    <w:bookmarkEnd w:id="58"/>
    <w:bookmarkStart w:id="59" w:name="обучение-персонала"/>
    <w:p>
      <w:pPr>
        <w:pStyle w:val="Heading3"/>
      </w:pPr>
      <w:r>
        <w:t xml:space="preserve">Обучение персонала</w:t>
      </w:r>
    </w:p>
    <w:p>
      <w:pPr>
        <w:pStyle w:val="FirstParagraph"/>
      </w:pPr>
      <w:r>
        <w:t xml:space="preserve">Диспетчерский персонал — одно из самых уязвимых мест миграции. Люди привыкли к интерфейсу InTouch, к расположению кнопок, к звукам тревог. Любое изменение вызывает сопротивление, особенно если диспетчер понимает, что от его скорости реакции зависит безопасность промысла.</w:t>
      </w:r>
    </w:p>
    <w:p>
      <w:pPr>
        <w:pStyle w:val="BodyText"/>
      </w:pPr>
      <w:r>
        <w:t xml:space="preserve">Мы выработали несколько правил, которые помогали снизить стресс при переходе:</w:t>
      </w:r>
    </w:p>
    <w:p>
      <w:pPr>
        <w:pStyle w:val="BodyText"/>
      </w:pPr>
      <w:r>
        <w:rPr>
          <w:bCs/>
          <w:b/>
        </w:rPr>
        <w:t xml:space="preserve">Сохранять привычную навигацию и цветовую схему.</w:t>
      </w:r>
      <w:r>
        <w:t xml:space="preserve"> </w:t>
      </w:r>
      <w:r>
        <w:t xml:space="preserve">Alpha.HMI позволяет воспроизвести любой визуальный стиль. Мы намеренно делали мнемосхемы максимально похожими на InTouch по расположению элементов и цветовой кодировке. Новые возможности (агрегатор тревог, улучшенные тренды) добавляли позже, после привыкания.</w:t>
      </w:r>
    </w:p>
    <w:p>
      <w:pPr>
        <w:pStyle w:val="BodyText"/>
      </w:pPr>
      <w:r>
        <w:rPr>
          <w:bCs/>
          <w:b/>
        </w:rPr>
        <w:t xml:space="preserve">Обучение на имитационном стенде до переключения.</w:t>
      </w:r>
      <w:r>
        <w:t xml:space="preserve"> </w:t>
      </w:r>
      <w:r>
        <w:t xml:space="preserve">Alpha.Imitator позволяет проигрывать историю процесса. Мы разворачивали стенд с реальными данными за прошлые смены и проводили 2–3 дневное обучение: диспетчер работал с новой системой, не отвечая за реальный объект. Это критически важно для уверенности.</w:t>
      </w:r>
    </w:p>
    <w:p>
      <w:pPr>
        <w:pStyle w:val="BodyText"/>
      </w:pPr>
      <w:r>
        <w:rPr>
          <w:bCs/>
          <w:b/>
        </w:rPr>
        <w:t xml:space="preserve">Присутствие инженера на объекте в первую неделю.</w:t>
      </w:r>
      <w:r>
        <w:t xml:space="preserve"> </w:t>
      </w:r>
      <w:r>
        <w:t xml:space="preserve">После переключения на основную систему один инженер дежурил на ДП, отвечая на вопросы и оперативно исправляя замечания.</w:t>
      </w:r>
    </w:p>
    <w:p>
      <w:pPr>
        <w:pStyle w:val="BodyText"/>
      </w:pPr>
      <w:r>
        <w:rPr>
          <w:bCs/>
          <w:b/>
        </w:rPr>
        <w:t xml:space="preserve">Памятка по отличиям.</w:t>
      </w:r>
      <w:r>
        <w:t xml:space="preserve"> </w:t>
      </w:r>
      <w:r>
        <w:t xml:space="preserve">Мы готовили короткий документ (2–3 страницы) с конкретными отличиями: как квитировать тревоги в Alpha.Alarms, как переключить тренд на исторический режим, как сформировать отчёт. Не руководство пользователя на 200 страниц, а шпаргалка по пяти действиям, которые отличаются.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сроки-и-ресурсы"/>
    <w:p>
      <w:pPr>
        <w:pStyle w:val="Heading2"/>
      </w:pPr>
      <w:r>
        <w:t xml:space="preserve">Сроки и ресурсы</w:t>
      </w:r>
    </w:p>
    <w:p>
      <w:pPr>
        <w:pStyle w:val="FirstParagraph"/>
      </w:pPr>
      <w:r>
        <w:t xml:space="preserve">Оценка для типового промыслового объекта (20 000 сигналов, 150 кустов, ДНС, УПН) по нашему опыту: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Этап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Длительность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Ресурсы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Аудит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 инженера АСУ ТП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Проектирование (DevStudio)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4–6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инженера + 1 проектировщик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Разработка мнемосхем (HMI)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6–8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HMI-разработчика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Настройка Historian +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2–3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инженер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Тестирование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инженера + 1 тестировщик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Параллельная работа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2–4 недели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инженер на объекте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Итого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5–7 месяцев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Команда 4–6 человек</w:t>
            </w:r>
          </w:p>
        </w:tc>
      </w:tr>
    </w:tbl>
    <w:p>
      <w:pPr>
        <w:pStyle w:val="BodyText"/>
      </w:pPr>
      <w:r>
        <w:t xml:space="preserve">Типизация резко сокращает сроки. Если на промысле 150 однотипных кустов — мнемосхема разрабатывается для одного куста и тиражируется. Основное время уходит на уникальные объекты: ДНС, УПН, головные сооружения. Каждый следующий ДП мигрировал быстрее предыдущего.</w:t>
      </w:r>
    </w:p>
    <w:p>
      <w:r>
        <w:pict>
          <v:rect style="width:0;height:1.5pt" o:hralign="center" o:hrstd="t" o:hr="t"/>
        </w:pict>
      </w:r>
    </w:p>
    <w:bookmarkEnd w:id="61"/>
    <w:bookmarkStart w:id="62" w:name="чек-лист-готовности-к-миграции"/>
    <w:p>
      <w:pPr>
        <w:pStyle w:val="Heading2"/>
      </w:pPr>
      <w:r>
        <w:t xml:space="preserve">Чек-лист готовности к миграции</w:t>
      </w:r>
    </w:p>
    <w:p>
      <w:pPr>
        <w:numPr>
          <w:ilvl w:val="0"/>
          <w:numId w:val="1011"/>
        </w:numPr>
        <w:pStyle w:val="Compact"/>
      </w:pPr>
      <w:r>
        <w:t xml:space="preserve">☐ Полный реестр сигналов выгружен из AVEVA (CSV/XLSX)</w:t>
      </w:r>
    </w:p>
    <w:p>
      <w:pPr>
        <w:numPr>
          <w:ilvl w:val="0"/>
          <w:numId w:val="1011"/>
        </w:numPr>
        <w:pStyle w:val="Compact"/>
      </w:pPr>
      <w:r>
        <w:t xml:space="preserve">☐ Карта коммуникаций задокументирована (протоколы, адреса, циклы опроса)</w:t>
      </w:r>
    </w:p>
    <w:p>
      <w:pPr>
        <w:numPr>
          <w:ilvl w:val="0"/>
          <w:numId w:val="1011"/>
        </w:numPr>
        <w:pStyle w:val="Compact"/>
      </w:pPr>
      <w:r>
        <w:t xml:space="preserve">☐ Спецификации RTU проверены на поддержку нескольких Master-станций</w:t>
      </w:r>
    </w:p>
    <w:p>
      <w:pPr>
        <w:numPr>
          <w:ilvl w:val="0"/>
          <w:numId w:val="1011"/>
        </w:numPr>
        <w:pStyle w:val="Compact"/>
      </w:pPr>
      <w:r>
        <w:t xml:space="preserve">☐ Список мнемосхем с оценкой трудоёмкости пересоздания</w:t>
      </w:r>
    </w:p>
    <w:p>
      <w:pPr>
        <w:numPr>
          <w:ilvl w:val="0"/>
          <w:numId w:val="1011"/>
        </w:numPr>
        <w:pStyle w:val="Compact"/>
      </w:pPr>
      <w:r>
        <w:t xml:space="preserve">☐ Перечень скриптов InTouch, требующих переписывания</w:t>
      </w:r>
    </w:p>
    <w:p>
      <w:pPr>
        <w:numPr>
          <w:ilvl w:val="0"/>
          <w:numId w:val="1011"/>
        </w:numPr>
        <w:pStyle w:val="Compact"/>
      </w:pPr>
      <w:r>
        <w:t xml:space="preserve">☐ Требования к глубине хранения исторических данных согласованы</w:t>
      </w:r>
    </w:p>
    <w:p>
      <w:pPr>
        <w:numPr>
          <w:ilvl w:val="0"/>
          <w:numId w:val="1011"/>
        </w:numPr>
        <w:pStyle w:val="Compact"/>
      </w:pPr>
      <w:r>
        <w:t xml:space="preserve">☐ Решение по миграции архивов AVEVA Historian принято</w:t>
      </w:r>
    </w:p>
    <w:p>
      <w:pPr>
        <w:numPr>
          <w:ilvl w:val="0"/>
          <w:numId w:val="1011"/>
        </w:numPr>
        <w:pStyle w:val="Compact"/>
      </w:pPr>
      <w:r>
        <w:t xml:space="preserve">☐ Целевая ОС определена (Windows / Linux / смешанная)</w:t>
      </w:r>
    </w:p>
    <w:p>
      <w:pPr>
        <w:numPr>
          <w:ilvl w:val="0"/>
          <w:numId w:val="1011"/>
        </w:numPr>
        <w:pStyle w:val="Compact"/>
      </w:pPr>
      <w:r>
        <w:t xml:space="preserve">☐ Лицензии Альфа платформы заказаны (Alpha.SCADA или Alpha.Platform)</w:t>
      </w:r>
    </w:p>
    <w:p>
      <w:pPr>
        <w:numPr>
          <w:ilvl w:val="0"/>
          <w:numId w:val="1011"/>
        </w:numPr>
        <w:pStyle w:val="Compact"/>
      </w:pPr>
      <w:r>
        <w:t xml:space="preserve">☐ План параллельной работы согласован с диспетчерской службой</w:t>
      </w:r>
    </w:p>
    <w:p>
      <w:pPr>
        <w:numPr>
          <w:ilvl w:val="0"/>
          <w:numId w:val="1011"/>
        </w:numPr>
        <w:pStyle w:val="Compact"/>
      </w:pPr>
      <w:r>
        <w:t xml:space="preserve">☐ Программа обучения персонала подготовлена</w:t>
      </w:r>
    </w:p>
    <w:p>
      <w:r>
        <w:pict>
          <v:rect style="width:0;height:1.5pt" o:hralign="center" o:hrstd="t" o:hr="t"/>
        </w:pict>
      </w:r>
    </w:p>
    <w:bookmarkEnd w:id="62"/>
    <w:bookmarkStart w:id="63" w:name="итоги"/>
    <w:p>
      <w:pPr>
        <w:pStyle w:val="Heading2"/>
      </w:pPr>
      <w:r>
        <w:t xml:space="preserve">Итоги</w:t>
      </w:r>
    </w:p>
    <w:p>
      <w:pPr>
        <w:pStyle w:val="FirstParagraph"/>
      </w:pPr>
      <w:r>
        <w:t xml:space="preserve">Миграция с AVEVA на Альфа платформу в нефтедобыче — задача, которую мы прошли несколько раз. Основные результаты и выводы: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Аудит окупается.</w:t>
      </w:r>
      <w:r>
        <w:t xml:space="preserve"> </w:t>
      </w:r>
      <w:r>
        <w:t xml:space="preserve">2–3 недели на инвентаризацию сигналов, коммуникаций и скриптов экономят месяцы на исправлении ошибок.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Типизация — главный инструмент экономии.</w:t>
      </w:r>
      <w:r>
        <w:t xml:space="preserve"> </w:t>
      </w:r>
      <w:r>
        <w:t xml:space="preserve">Один тип «Кустовая площадка» в DevStudio, тиражируемый на 100–200 кустов, сокращает трудозатраты в разы.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Параллельная работа обязательна.</w:t>
      </w:r>
      <w:r>
        <w:t xml:space="preserve"> </w:t>
      </w:r>
      <w:r>
        <w:t xml:space="preserve">IEC 60870-5-104 позволяет подключить два Master — это нужно использовать.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Встроенные драйверы упрощают архитектуру.</w:t>
      </w:r>
      <w:r>
        <w:t xml:space="preserve"> </w:t>
      </w:r>
      <w:r>
        <w:t xml:space="preserve">Цепочка «RTU → OPC-сервер → SCADA» заменяется на «RTU → Alpha.Server». Меньше компонентов — меньше точек отказа.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Linux — стратегическое преимущество.</w:t>
      </w:r>
      <w:r>
        <w:t xml:space="preserve"> </w:t>
      </w:r>
      <w:r>
        <w:t xml:space="preserve">Одновременно закрывает импортозамещение SCADA и ОС. AVEVA на Linux не работает.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Не копировать, а проектировать.</w:t>
      </w:r>
      <w:r>
        <w:t xml:space="preserve"> </w:t>
      </w:r>
      <w:r>
        <w:t xml:space="preserve">Миграция — возможность пересмотреть архитектуру, упростить коммуникации, навести порядок в информационной модели.</w:t>
      </w:r>
    </w:p>
    <w:p>
      <w:pPr>
        <w:pStyle w:val="FirstParagraph"/>
      </w:pPr>
      <w:r>
        <w:t xml:space="preserve">Мы рекомендуем начинать с пилотного ДП (10–20 кустов, одна ДНС), отрабатывать на нём полный цикл, а затем тиражировать наработанные типовые решения на остальные объекты промысла.</w:t>
      </w:r>
    </w:p>
    <w:p>
      <w:pPr>
        <w:pStyle w:val="BodyText"/>
      </w:pPr>
      <w:r>
        <w:t xml:space="preserve">Рынок отечественных SCADA-систем предоставляет выбор: MasterSCADA 4D, TRACE MODE, Альфа платформа. Для распределённых объектов нефтедобычи Альфа платформа оказалась подходящим решением по совокупности свойств: встроенные драйверы телемеханики, кластерное резервирование на основе Master-Slave репликации журнала транзакций, высокопроизводительный Historian (800 000 записей/с на запись), полноценная работа под Linux и единая среда проектирования DevStudio с CLI для автоматизации массовых операций.</w:t>
      </w:r>
    </w:p>
    <w:p>
      <w:r>
        <w:pict>
          <v:rect style="width:0;height:1.5pt" o:hralign="center" o:hrstd="t" o:hr="t"/>
        </w:pict>
      </w:r>
    </w:p>
    <w:bookmarkEnd w:id="63"/>
    <w:bookmarkStart w:id="64" w:name="ссылки-и-ресурсы"/>
    <w:p>
      <w:pPr>
        <w:pStyle w:val="Heading2"/>
      </w:pPr>
      <w:r>
        <w:t xml:space="preserve">Ссылки и ресурсы</w:t>
      </w:r>
    </w:p>
    <w:p>
      <w:pPr>
        <w:numPr>
          <w:ilvl w:val="0"/>
          <w:numId w:val="1013"/>
        </w:numPr>
        <w:pStyle w:val="Compact"/>
      </w:pPr>
      <w:r>
        <w:t xml:space="preserve">Альфа платформа — официальный сайт: automiq.ru</w:t>
      </w:r>
    </w:p>
    <w:p>
      <w:pPr>
        <w:numPr>
          <w:ilvl w:val="0"/>
          <w:numId w:val="1013"/>
        </w:numPr>
        <w:pStyle w:val="Compact"/>
      </w:pPr>
      <w:r>
        <w:t xml:space="preserve">К. Силкин. Альфа платформа: обзор архитектуры и возможностей использования // Control Engineering Россия, №1(100), 2023</w:t>
      </w:r>
    </w:p>
    <w:p>
      <w:pPr>
        <w:numPr>
          <w:ilvl w:val="0"/>
          <w:numId w:val="1013"/>
        </w:numPr>
        <w:pStyle w:val="Compact"/>
      </w:pPr>
      <w:r>
        <w:t xml:space="preserve">Д. Ракитин, Е. Вертопрахова. Среда исполнения Альфа платформы: новые механизмы и модель резервирования // Control Engineering Россия, №1-2(105), 2024</w:t>
      </w:r>
    </w:p>
    <w:p>
      <w:pPr>
        <w:numPr>
          <w:ilvl w:val="0"/>
          <w:numId w:val="1013"/>
        </w:numPr>
        <w:pStyle w:val="Compact"/>
      </w:pPr>
      <w:r>
        <w:t xml:space="preserve">IEC 60870-5-104:2006 — Telecontrol equipment and systems, Part 5-104</w:t>
      </w:r>
    </w:p>
    <w:p>
      <w:pPr>
        <w:numPr>
          <w:ilvl w:val="0"/>
          <w:numId w:val="1013"/>
        </w:numPr>
        <w:pStyle w:val="Compact"/>
      </w:pPr>
      <w:r>
        <w:t xml:space="preserve">IEC 62443-3-3 — System security requirements and security levels</w:t>
      </w:r>
    </w:p>
    <w:p>
      <w:pPr>
        <w:numPr>
          <w:ilvl w:val="0"/>
          <w:numId w:val="1013"/>
        </w:numPr>
        <w:pStyle w:val="Compact"/>
      </w:pPr>
      <w:r>
        <w:t xml:space="preserve">ФЗ-187 «О безопасности критической информационной инфраструктуры Российской Федерации»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Альфа платформа — продукт АО «Атомик Софт» (automiq.ru), входит в Единый реестр российского ПО.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2026-03-24T07:23:25Z</dcterms:created>
  <dcterms:modified xsi:type="dcterms:W3CDTF">2026-03-24T07:23:25Z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