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Драйвер IEC 60870-5-104 в Alpha Platform: архитектура, настройка и подводные камни</w:t>
      </w:r>
    </w:p>
    <w:p>
      <w:r>
        <w:t>Реализация собственного драйвера IEC 60870-5-104 с нуля — задача не для слабонервных: асинхронная state machine с sequencing, таймауты на трёх уровнях и ASDU parsing требуют серьёзной инженерной проработки. Alpha Platform решает эту проблему встроенным модулем IEC-104, но понимание внутреннего устройства протокола остается критически важным для диагностики реальных проблем на объектах.</w:t>
      </w:r>
    </w:p>
    <w:p>
      <w:pPr>
        <w:pStyle w:val="Heading1"/>
      </w:pPr>
      <w:r>
        <w:t>Протокол IEC 60870-5-104: что под капотом</w:t>
      </w:r>
    </w:p>
    <w:p>
      <w:r>
        <w:t>IEC 60870-5-104 представляет собой TCP-оболочку для протокола 60870-5-101, где транспортный уровень реализован через APCI (Application Protocol Control Information), обёртывающий APDU (Application Protocol Data Unit).</w:t>
      </w:r>
    </w:p>
    <w:p>
      <w:pPr>
        <w:pStyle w:val="Heading2"/>
      </w:pPr>
      <w:r>
        <w:t>Структура APCI и типы фреймов</w:t>
      </w:r>
    </w:p>
    <w:p>
      <w:r>
        <w:rPr>
          <w:rFonts w:ascii="Consolas" w:hAnsi="Consolas"/>
          <w:sz w:val="18"/>
        </w:rPr>
        <w:t>APCI Header (6 bytes):</w:t>
        <w:br/>
        <w:t>+--------+--------+--------+--------+--------+--------+</w:t>
        <w:br/>
        <w:t>|  0x68  | Length |  Send  |  Recv  |  Ctrl  |  Ctrl  |</w:t>
        <w:br/>
        <w:t>|  (1B)  |  (1B)  |  (2B)  |  (2B)  |  (1B)  |  (1B)  |</w:t>
        <w:br/>
        <w:t>+--------+--------+--------+--------+--------+--------+</w:t>
      </w:r>
    </w:p>
    <w:p>
      <w:r>
        <w:t>Протокол оперирует тремя типами фреймов:</w:t>
      </w:r>
    </w:p>
    <w:p>
      <w:pPr>
        <w:pStyle w:val="ListBullet"/>
      </w:pPr>
      <w:r>
        <w:t>I-format (Information) — передача данных с sequence numbering</w:t>
      </w:r>
    </w:p>
    <w:p>
      <w:pPr>
        <w:pStyle w:val="ListBullet"/>
      </w:pPr>
      <w:r>
        <w:t>S-format (Supervisory) — подтверждения без данных</w:t>
      </w:r>
    </w:p>
    <w:p>
      <w:pPr>
        <w:pStyle w:val="ListBullet"/>
      </w:pPr>
      <w:r>
        <w:t>U-format (Control) — управляющие команды (STARTDT, STOPDT, TESTFR)</w:t>
      </w:r>
    </w:p>
    <w:p>
      <w:pPr>
        <w:pStyle w:val="Heading2"/>
      </w:pPr>
      <w:r>
        <w:t>Пример реального телеграмма STARTDT</w:t>
      </w:r>
    </w:p>
    <w:p>
      <w:r>
        <w:rPr>
          <w:rFonts w:ascii="Consolas" w:hAnsi="Consolas"/>
          <w:sz w:val="18"/>
        </w:rPr>
        <w:t>68 04 07 00 00 00  // U-format: STARTDT act</w:t>
        <w:br/>
        <w:t>68 04 0B 00 00 00  // U-format: STARTDT con</w:t>
      </w:r>
    </w:p>
    <w:p>
      <w:r>
        <w:t>Sequence numbering работает через счётчики N(S) и N(R), где k-parameter определяет максимальное количество неподтверждённых I-фреймов (обычно 12), а w-parameter — когда отправлять S-frame с подтверждением (обычно 8).</w:t>
      </w:r>
    </w:p>
    <w:p>
      <w:pPr>
        <w:pStyle w:val="Heading2"/>
      </w:pPr>
      <w:r>
        <w:t>State machine и таймауты</w:t>
      </w:r>
    </w:p>
    <w:p>
      <w:r>
        <w:t>Конечный автомат протокола:</w:t>
      </w:r>
    </w:p>
    <w:p>
      <w:r>
        <w:t>1. STOPPED → STARTDT act → STARTED (после STARTDT con)</w:t>
      </w:r>
    </w:p>
    <w:p>
      <w:r>
        <w:t>2. STARTED → передача I-frames с данными</w:t>
      </w:r>
    </w:p>
    <w:p>
      <w:r>
        <w:t>3. TESTFR каждые t3 секунд для keepalive</w:t>
      </w:r>
    </w:p>
    <w:p>
      <w:r>
        <w:t>4. STOPDT для graceful shutdown</w:t>
      </w:r>
    </w:p>
    <w:p>
      <w:r>
        <w:t>Критические таймауты согласно IEC 60870-5-104:2006:</w:t>
      </w:r>
    </w:p>
    <w:p>
      <w:pPr>
        <w:pStyle w:val="ListBullet"/>
      </w:pPr>
      <w:r>
        <w:t>t0: connection timeout (30s)</w:t>
      </w:r>
    </w:p>
    <w:p>
      <w:pPr>
        <w:pStyle w:val="ListBullet"/>
      </w:pPr>
      <w:r>
        <w:t>t1: send timeout (15s)</w:t>
      </w:r>
    </w:p>
    <w:p>
      <w:pPr>
        <w:pStyle w:val="ListBullet"/>
      </w:pPr>
      <w:r>
        <w:t>t2: acknowledgment timeout (10s)</w:t>
      </w:r>
    </w:p>
    <w:p>
      <w:pPr>
        <w:pStyle w:val="ListBullet"/>
      </w:pPr>
      <w:r>
        <w:t>t3: test timeout (20s)</w:t>
      </w:r>
    </w:p>
    <w:p>
      <w:pPr>
        <w:pStyle w:val="Heading2"/>
      </w:pPr>
      <w:r>
        <w:t>ASDU и типы информационных объектов</w:t>
      </w:r>
    </w:p>
    <w:p>
      <w:r>
        <w:t>На прикладном уровне данные инкапсулируются в ASDU (Application Service Data Unit) с указанием:</w:t>
      </w:r>
    </w:p>
    <w:p>
      <w:pPr>
        <w:pStyle w:val="ListBullet"/>
      </w:pPr>
      <w:r>
        <w:t>Type ID (тип информационного объекта)</w:t>
      </w:r>
    </w:p>
    <w:p>
      <w:pPr>
        <w:pStyle w:val="ListBullet"/>
      </w:pPr>
      <w:r>
        <w:t>IOA (Information Object Address) — адрес объекта</w:t>
      </w:r>
    </w:p>
    <w:p>
      <w:pPr>
        <w:pStyle w:val="ListBullet"/>
      </w:pPr>
      <w:r>
        <w:t>Quality descriptors (IV, NT, SB, BL, OV)</w:t>
      </w:r>
    </w:p>
    <w:p>
      <w:r>
        <w:t>Основные типы объектов:</w:t>
      </w:r>
    </w:p>
    <w:p>
      <w:pPr>
        <w:pStyle w:val="ListBullet"/>
      </w:pPr>
      <w:r>
        <w:t>M_SP_NA_1 (1) — single point без временной метки</w:t>
      </w:r>
    </w:p>
    <w:p>
      <w:pPr>
        <w:pStyle w:val="ListBullet"/>
      </w:pPr>
      <w:r>
        <w:t>M_ME_NA_1 (9) — нормализованное измеренное значение</w:t>
      </w:r>
    </w:p>
    <w:p>
      <w:pPr>
        <w:pStyle w:val="ListBullet"/>
      </w:pPr>
      <w:r>
        <w:t>C_SC_NA_1 (45) — single command</w:t>
      </w:r>
    </w:p>
    <w:p>
      <w:pPr>
        <w:pStyle w:val="ListBullet"/>
      </w:pPr>
      <w:r>
        <w:t>C_CS_NA_1 (103) — синхронизация времени</w:t>
      </w:r>
    </w:p>
    <w:p>
      <w:pPr>
        <w:pStyle w:val="Heading2"/>
      </w:pPr>
      <w:r>
        <w:t>Грабли с Quality descriptors</w:t>
      </w:r>
    </w:p>
    <w:p>
      <w:r>
        <w:t>Quality flags часто игнорируются, что приводит к записи invalid данных в historian:</w:t>
      </w:r>
    </w:p>
    <w:p>
      <w:r>
        <w:rPr>
          <w:rFonts w:ascii="Consolas" w:hAnsi="Consolas"/>
          <w:sz w:val="18"/>
        </w:rPr>
        <w:t>// НЕПРАВИЛЬНО: игнорирование QDS</w:t>
        <w:br/>
        <w:t>if (asdu-&gt;type == M_ME_NA_1) {</w:t>
        <w:br/>
        <w:t xml:space="preserve">    float value = normalized_to_float(info_obj-&gt;value);</w:t>
        <w:br/>
        <w:t xml:space="preserve">    historian_write(ioa, value, timestamp);</w:t>
        <w:br/>
        <w:t>}</w:t>
        <w:br/>
        <w:br/>
        <w:t>// ПРАВИЛЬНО: проверка качества</w:t>
        <w:br/>
        <w:t>if (asdu-&gt;type == M_ME_NA_1) {</w:t>
        <w:br/>
        <w:t xml:space="preserve">    uint8_t qds = info_obj-&gt;quality;</w:t>
        <w:br/>
        <w:t xml:space="preserve">    if (!(qds &amp; QDS_IV) &amp;&amp; !(qds &amp; QDS_BL)) {  // not invalid, not blocked</w:t>
        <w:br/>
        <w:t xml:space="preserve">        float value = normalized_to_float(info_obj-&gt;value);</w:t>
        <w:br/>
        <w:t xml:space="preserve">        historian_write(ioa, value, timestamp);</w:t>
        <w:br/>
        <w:t xml:space="preserve">    } else {</w:t>
        <w:br/>
        <w:t xml:space="preserve">        historian_write_invalid(ioa, timestamp);</w:t>
        <w:br/>
        <w:t xml:space="preserve">    }</w:t>
        <w:br/>
        <w:t>}</w:t>
      </w:r>
    </w:p>
    <w:p>
      <w:pPr>
        <w:pStyle w:val="Heading1"/>
      </w:pPr>
      <w:r>
        <w:t>Архитектура модуля IEC-104 в Alpha.Server</w:t>
      </w:r>
    </w:p>
    <w:p>
      <w:r>
        <w:t>Модуль IEC-104 интегрирован в архитектуру Alpha.Server 6.4.28 как нативный компонент без промежуточных OPC-слоёв. Это обеспечивает прямой доступ к TCP-стеку операционной системы и минимизирует латентность.</w:t>
      </w:r>
    </w:p>
    <w:p>
      <w:pPr>
        <w:pStyle w:val="Heading2"/>
      </w:pPr>
      <w:r>
        <w:t>Двунаправленная архитектура</w:t>
      </w:r>
    </w:p>
    <w:p>
      <w:r>
        <w:t>Alpha.Server поддерживает одновременно режимы Master (опрос slave-устройств) и Slave (публикация данных для внешних мастеров). Это позволяет реализовать сценарий protocol converter: Alpha.Server получает данные по Modbus RTU и публикует их по IEC-104 для вышестоящих систем.</w:t>
      </w:r>
    </w:p>
    <w:p>
      <w:r>
        <w:rPr>
          <w:rFonts w:ascii="Consolas" w:hAnsi="Consolas"/>
          <w:sz w:val="18"/>
        </w:rPr>
        <w:t>Modbus RTU ──→ Alpha.Server ──→ IEC-104</w:t>
        <w:br/>
        <w:t>(Slave mode)     (Native)      (Master mode)</w:t>
        <w:br/>
        <w:t xml:space="preserve">     ↓              ↓              ↓</w:t>
        <w:br/>
        <w:t>[Устройства]   [Буферизация]  [SCADA верхнего]</w:t>
        <w:br/>
        <w:t xml:space="preserve">               [и обработка]     [уровня]</w:t>
      </w:r>
    </w:p>
    <w:p>
      <w:pPr>
        <w:pStyle w:val="Heading2"/>
      </w:pPr>
      <w:r>
        <w:t>Интеграция с компонентной архитектурой</w:t>
      </w:r>
    </w:p>
    <w:p>
      <w:r>
        <w:t>Модуль работает как часть распределённой архитектуры Alpha.Server с up to 2,000,000 тегов на инстанс. Данные передаются между компонентами через внутреннюю шину с буферизацией — это гарантирует отсутствие потерь при кратковременных разрывах IEC-104 соединений.</w:t>
      </w:r>
    </w:p>
    <w:p>
      <w:pPr>
        <w:pStyle w:val="Heading2"/>
      </w:pPr>
      <w:r>
        <w:t>Нативная поддержка Linux</w:t>
      </w:r>
    </w:p>
    <w:p>
      <w:r>
        <w:t>В отличие от решений на Wine, модуль скомпилирован нативно для x86_64/ARM64 Linux (Astra Linux SE, РЕД ОС, ALT Linux, Ubuntu). Это обеспечивает:</w:t>
      </w:r>
    </w:p>
    <w:p>
      <w:pPr>
        <w:pStyle w:val="ListBullet"/>
      </w:pPr>
      <w:r>
        <w:t>Доступ к native TCP socket options (TCP_NODELAY, SO_KEEPALIVE)</w:t>
      </w:r>
    </w:p>
    <w:p>
      <w:pPr>
        <w:pStyle w:val="ListBullet"/>
      </w:pPr>
      <w:r>
        <w:t>Интеграцию с systemd для автозапуска</w:t>
      </w:r>
    </w:p>
    <w:p>
      <w:pPr>
        <w:pStyle w:val="ListBullet"/>
      </w:pPr>
      <w:r>
        <w:t>Использование epoll для эффективного I/O multiplexing</w:t>
      </w:r>
    </w:p>
    <w:p>
      <w:pPr>
        <w:pStyle w:val="Heading1"/>
      </w:pPr>
      <w:r>
        <w:t>Настройка в Alpha.DevStudio: пошаговый разбор</w:t>
      </w:r>
    </w:p>
    <w:p>
      <w:r>
        <w:t>Конфигурирование IEC-104 в Alpha.DevStudio построено на концепции адресных карт и элементов станций.</w:t>
      </w:r>
    </w:p>
    <w:p>
      <w:pPr>
        <w:pStyle w:val="Heading2"/>
      </w:pPr>
      <w:r>
        <w:t>Шаг 1: Создание адресной карты</w:t>
      </w:r>
    </w:p>
    <w:p>
      <w:r>
        <w:t>Карта адресов МЭК 60870-5 определяет mapping между внутренними тегами Alpha.Server и IOA-адресами протокола:</w:t>
      </w:r>
    </w:p>
    <w:p>
      <w:r>
        <w:rPr>
          <w:rFonts w:ascii="Consolas" w:hAnsi="Consolas"/>
          <w:sz w:val="18"/>
        </w:rPr>
        <w:t>Внутренний тег    | IOA  | Type ID | Описание</w:t>
        <w:br/>
        <w:t>------------------|------|---------|------------------</w:t>
        <w:br/>
        <w:t>TEMP_REACTOR_1    | 1001 | M_ME_NA_1 | Температура реактора</w:t>
        <w:br/>
        <w:t>PUMP_STATUS_1     | 2001 | M_SP_NA_1 | Состояние насоса</w:t>
        <w:br/>
        <w:t>CMD_VALVE_CLOSE   | 3001 | C_SC_NA_1 | Команда закрытия</w:t>
      </w:r>
    </w:p>
    <w:p>
      <w:r>
        <w:t>Alpha.DevStudio поддерживает импорт адресных карт из Excel (.xlsx), что упрощает миграцию существующих конфигураций.</w:t>
      </w:r>
    </w:p>
    <w:p>
      <w:pPr>
        <w:pStyle w:val="Heading2"/>
      </w:pPr>
      <w:r>
        <w:t>Шаг 2: Конфигурация элемента станции</w:t>
      </w:r>
    </w:p>
    <w:p>
      <w:r>
        <w:t>Станция МЭК 60870-5-104 — логический элемент с свойством Номер станции (Common Address of ASDU). Этот номер используется в ASDU header для идентификации источника данных.</w:t>
      </w:r>
    </w:p>
    <w:p>
      <w:r>
        <w:rPr>
          <w:rFonts w:ascii="Consolas" w:hAnsi="Consolas"/>
          <w:sz w:val="18"/>
        </w:rPr>
        <w:t>&lt;!-- Фрагмент конфигурации --&gt;</w:t>
        <w:br/>
        <w:t>&lt;Station104 Name="RTU_Station_1" CommonAddress="15"&gt;</w:t>
        <w:br/>
        <w:t xml:space="preserve">    &lt;AddressMap&gt;MAPS\RTU_AddressMap.xml&lt;/AddressMap&gt;</w:t>
        <w:br/>
        <w:t xml:space="preserve">    &lt;Parameters&gt;</w:t>
        <w:br/>
        <w:t xml:space="preserve">        &lt;t0&gt;30000&lt;/t0&gt;  &lt;!-- Connection timeout, ms --&gt;</w:t>
        <w:br/>
        <w:t xml:space="preserve">        &lt;t1&gt;15000&lt;/t1&gt;  &lt;!-- Send timeout, ms --&gt;</w:t>
        <w:br/>
        <w:t xml:space="preserve">        &lt;t2&gt;10000&lt;/t2&gt;  &lt;!-- Ack timeout, ms --&gt;</w:t>
        <w:br/>
        <w:t xml:space="preserve">        &lt;t3&gt;20000&lt;/t3&gt;  &lt;!-- Test timeout, ms --&gt;</w:t>
        <w:br/>
        <w:t xml:space="preserve">        &lt;k&gt;12&lt;/k&gt;       &lt;!-- Max unconfirmed I-frames --&gt;</w:t>
        <w:br/>
        <w:t xml:space="preserve">        &lt;w&gt;8&lt;/w&gt;        &lt;!-- Ack after w I-frames --&gt;</w:t>
        <w:br/>
        <w:t xml:space="preserve">    &lt;/Parameters&gt;</w:t>
        <w:br/>
        <w:t>&lt;/Station104&gt;</w:t>
      </w:r>
    </w:p>
    <w:p>
      <w:pPr>
        <w:pStyle w:val="Heading2"/>
      </w:pPr>
      <w:r>
        <w:t>Шаг 3: Добавление опросчика</w:t>
      </w:r>
    </w:p>
    <w:p>
      <w:r>
        <w:t>Опросчик МЭК 60870-5-104 — компонент Alpha.Server application, который обеспечивает TCP-соединение и выполнение протокольной state machine.</w:t>
      </w:r>
    </w:p>
    <w:p>
      <w:pPr>
        <w:pStyle w:val="Heading2"/>
      </w:pPr>
      <w:r>
        <w:t>Шаг 4: Build и deploy</w:t>
      </w:r>
    </w:p>
    <w:p>
      <w:r>
        <w:t>После build решения Alpha.DevStudio генерирует конфигурационные файлы для Linux Alpha.Server. Deploy выполняется через встроенные средства — конфигурация копируется на target машину и Alpha.Server перезапускается с новой конфигурацией.</w:t>
      </w:r>
    </w:p>
    <w:p>
      <w:pPr>
        <w:pStyle w:val="Heading1"/>
      </w:pPr>
      <w:r>
        <w:t>Буферизация и отказоустойчивость</w:t>
      </w:r>
    </w:p>
    <w:p>
      <w:pPr>
        <w:pStyle w:val="Heading2"/>
      </w:pPr>
      <w:r>
        <w:t>Внутренняя буферизация данных</w:t>
      </w:r>
    </w:p>
    <w:p>
      <w:r>
        <w:t>Alpha.Server реализует многоуровневую буферизацию между компонентами:</w:t>
      </w:r>
    </w:p>
    <w:p>
      <w:r>
        <w:t>1. Acquisition buffer — кольцевой буфер для данных от источников</w:t>
      </w:r>
    </w:p>
    <w:p>
      <w:r>
        <w:t>2. Protocol buffer — буфер для исходящих IEC-104 сообщений</w:t>
      </w:r>
    </w:p>
    <w:p>
      <w:r>
        <w:t>3. Archive buffer — буфер для historian при недоступности БД</w:t>
      </w:r>
    </w:p>
    <w:p>
      <w:r>
        <w:t>При разрыве IEC-104 соединения данные накапливаются в protocol buffer. После восстановления соединения выполняется GI (General Interrogation) для синхронизации состояний.</w:t>
      </w:r>
    </w:p>
    <w:p>
      <w:pPr>
        <w:pStyle w:val="Heading2"/>
      </w:pPr>
      <w:r>
        <w:t>Hot standby архитектура</w:t>
      </w:r>
    </w:p>
    <w:p>
      <w:r>
        <w:t>Для критически важных применений Alpha.Server поддерживает hot standby с автоматическим failover:</w:t>
      </w:r>
    </w:p>
    <w:p>
      <w:r>
        <w:rPr>
          <w:rFonts w:ascii="Consolas" w:hAnsi="Consolas"/>
          <w:sz w:val="18"/>
        </w:rPr>
        <w:t>Primary Alpha.Server ──┐</w:t>
        <w:br/>
        <w:t xml:space="preserve">                       ├── Heartbeat ──→ IEC-104 Clients</w:t>
        <w:br/>
        <w:t>Secondary Alpha.Server ─┘</w:t>
      </w:r>
    </w:p>
    <w:p>
      <w:r>
        <w:t>Переключение выполняется на основе heartbeat через shared memory или TCP keepalive. Время переключения составляет менее 5 секунд.</w:t>
      </w:r>
    </w:p>
    <w:p>
      <w:pPr>
        <w:pStyle w:val="Heading2"/>
      </w:pPr>
      <w:r>
        <w:t>DMZ и connection inversion</w:t>
      </w:r>
    </w:p>
    <w:p>
      <w:r>
        <w:t>Для промышленных сетей с жёсткими firewall правилами Alpha.Server поддерживает connection inversion:</w:t>
      </w:r>
    </w:p>
    <w:p>
      <w:r>
        <w:rPr>
          <w:rFonts w:ascii="Consolas" w:hAnsi="Consolas"/>
          <w:sz w:val="18"/>
        </w:rPr>
        <w:t>DMZ Zone          Internal Network</w:t>
        <w:br/>
        <w:t>┌─────────────┐   ┌──────────────┐</w:t>
        <w:br/>
        <w:t>│ Alpha.Server │←──│ Alpha.Server │</w:t>
        <w:br/>
        <w:t>│ (Converter)  │   │ (Main SCADA) │</w:t>
        <w:br/>
        <w:t>└─────────────┘   └──────────────┘</w:t>
        <w:br/>
        <w:t xml:space="preserve">      ↑                  ↑</w:t>
        <w:br/>
        <w:t xml:space="preserve">  IEC-104 out      Internal data bus</w:t>
      </w:r>
    </w:p>
    <w:p>
      <w:r>
        <w:t>Alpha.Server в DMZ выступает как protocol converter, принимая исходящие соединения от внешних систем, но получая данные от внутренней сети через Alpha.AccessPoint.</w:t>
      </w:r>
    </w:p>
    <w:p>
      <w:pPr>
        <w:pStyle w:val="Heading1"/>
      </w:pPr>
      <w:r>
        <w:t>Типичные грабли при работе с IEC 104</w:t>
      </w:r>
    </w:p>
    <w:p>
      <w:pPr>
        <w:pStyle w:val="Heading2"/>
      </w:pPr>
      <w:r>
        <w:t>Проблема: k/w parameter mismatch</w:t>
      </w:r>
    </w:p>
    <w:p>
      <w:r>
        <w:t>Симптомы: Периодические disconnection каждые 2-3 минуты</w:t>
      </w:r>
    </w:p>
    <w:p>
      <w:r>
        <w:t>Причина: Мастер настроен на k=12, slave — на k=8. При достижении k=8 неподтверждённых фреймов slave перестаёт отвечать, мастер ждёт до k=12, затем разрывает соединение.</w:t>
      </w:r>
    </w:p>
    <w:p>
      <w:r>
        <w:t>Решение: Синхронизация параметров k и w между мастером и slave-устройством.</w:t>
      </w:r>
    </w:p>
    <w:p>
      <w:pPr>
        <w:pStyle w:val="Heading2"/>
      </w:pPr>
      <w:r>
        <w:t>Проблема: Некорректная синхронизация времени</w:t>
      </w:r>
    </w:p>
    <w:p>
      <w:r>
        <w:t>Симптомы: События в SCADA отображаются с неправильными timestamp</w:t>
      </w:r>
    </w:p>
    <w:p>
      <w:r>
        <w:t>Причина: C_CS_NA_1 команды синхронизации времени не учитывают часовые пояса.</w:t>
      </w:r>
    </w:p>
    <w:p>
      <w:r>
        <w:rPr>
          <w:rFonts w:ascii="Consolas" w:hAnsi="Consolas"/>
          <w:sz w:val="18"/>
        </w:rPr>
        <w:t>// НЕПРАВИЛЬНО: локальное время без timezone</w:t>
        <w:br/>
        <w:t>time_t local_time = time(NULL);</w:t>
        <w:br/>
        <w:t>send_time_sync(local_time);</w:t>
        <w:br/>
        <w:br/>
        <w:t>// ПРАВИЛЬНО: UTC с учётом DST</w:t>
        <w:br/>
        <w:t>struct tm utc_tm;</w:t>
        <w:br/>
        <w:t>gmtime_r(&amp;local_time, &amp;utc_tm);</w:t>
        <w:br/>
        <w:t>send_time_sync_utc(&amp;utc_tm, get_dst_offset());</w:t>
      </w:r>
    </w:p>
    <w:p>
      <w:pPr>
        <w:pStyle w:val="Heading2"/>
      </w:pPr>
      <w:r>
        <w:t>Проблема: Дублирование IOA адресов</w:t>
      </w:r>
    </w:p>
    <w:p>
      <w:r>
        <w:t>Симптомы: Часть тегов не обновляется в SCADA</w:t>
      </w:r>
    </w:p>
    <w:p>
      <w:r>
        <w:t>Причина: Два different tag имеют одинаковый IOA. SCADA принимает только последний пришедший.</w:t>
      </w:r>
    </w:p>
    <w:p>
      <w:r>
        <w:t>Решение: Валидация уникальности IOA на этапе конфигурирования.</w:t>
      </w:r>
    </w:p>
    <w:p>
      <w:pPr>
        <w:pStyle w:val="Heading2"/>
      </w:pPr>
      <w:r>
        <w:t>Проблема: Firewall dropping idle connections</w:t>
      </w:r>
    </w:p>
    <w:p>
      <w:r>
        <w:t>Симптомы: Соединение разрывается ровно через 30 минут простоя</w:t>
      </w:r>
    </w:p>
    <w:p>
      <w:r>
        <w:t>Причина: Firewall/NAT timeout меньше, чем t3 parameter.</w:t>
      </w:r>
    </w:p>
    <w:p>
      <w:r>
        <w:t>Решение: Снижение t3 до 10-15 секунд или настройка TCP keepalive:</w:t>
      </w:r>
    </w:p>
    <w:p>
      <w:r>
        <w:rPr>
          <w:rFonts w:ascii="Consolas" w:hAnsi="Consolas"/>
          <w:sz w:val="18"/>
        </w:rPr>
        <w:t>int keepalive = 1;</w:t>
        <w:br/>
        <w:t>setsockopt(sock, SOL_SOCKET, SO_KEEPALIVE, &amp;keepalive, sizeof(keepalive));</w:t>
        <w:br/>
        <w:br/>
        <w:t>int keepidle = 10;   // Start keepalive after 10s idle</w:t>
        <w:br/>
        <w:t>int keepintvl = 3;   // Send keepalive every 3s</w:t>
        <w:br/>
        <w:t>int keepcnt = 3;     // Drop after 3 failed keepalives</w:t>
        <w:br/>
        <w:t>setsockopt(sock, IPPROTO_TCP, TCP_KEEPIDLE, &amp;keepidle, sizeof(keepidle));</w:t>
        <w:br/>
        <w:t>setsockopt(sock, IPPROTO_TCP, TCP_KEEPINTVL, &amp;keepintvl, sizeof(keepintvl));</w:t>
        <w:br/>
        <w:t>setsockopt(sock, IPPROTO_TCP, TCP_KEEPCNT, &amp;keepcnt, sizeof(keepcnt));</w:t>
      </w:r>
    </w:p>
    <w:p>
      <w:pPr>
        <w:pStyle w:val="Heading2"/>
      </w:pPr>
      <w:r>
        <w:t>Проблема: GI flooding при reconnect</w:t>
      </w:r>
    </w:p>
    <w:p>
      <w:r>
        <w:t>Симптомы: После каждого переподключения SCADA получает лавину данных</w:t>
      </w:r>
    </w:p>
    <w:p>
      <w:r>
        <w:t>Причина: Неправильная реализация General Interrogation — отправка всех тегов вместо только изменившихся.</w:t>
      </w:r>
    </w:p>
    <w:p>
      <w:r>
        <w:t>Решение: Отправка GI response только для тегов с актуальными данными:</w:t>
      </w:r>
    </w:p>
    <w:p>
      <w:r>
        <w:rPr>
          <w:rFonts w:ascii="Consolas" w:hAnsi="Consolas"/>
          <w:sz w:val="18"/>
        </w:rPr>
        <w:t>// НЕПРАВИЛЬНО: дамп всех тегов</w:t>
        <w:br/>
        <w:t>void send_general_interrogation_response(int cot) {</w:t>
        <w:br/>
        <w:t xml:space="preserve">    for (int ioa = 1; ioa &lt;= MAX_IOA; ioa++) {</w:t>
        <w:br/>
        <w:t xml:space="preserve">        send_measurement(ioa, get_tag_value(ioa), cot);</w:t>
        <w:br/>
        <w:t xml:space="preserve">    }</w:t>
        <w:br/>
        <w:t>}</w:t>
        <w:br/>
        <w:br/>
        <w:t>// ПРАВИЛЬНО: только валидные теги</w:t>
        <w:br/>
        <w:t>void send_general_interrogation_response(int cot) {</w:t>
        <w:br/>
        <w:t xml:space="preserve">    for (int ioa = 1; ioa &lt;= MAX_IOA; ioa++) {</w:t>
        <w:br/>
        <w:t xml:space="preserve">        if (is_tag_valid(ioa)) {</w:t>
        <w:br/>
        <w:t xml:space="preserve">            send_measurement(ioa, get_tag_value(ioa), cot);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Заключение</w:t>
      </w:r>
    </w:p>
    <w:p>
      <w:r>
        <w:t>IEC 60870-5-104 остаётся базовым протоколом для телемеханики в энергетике и водоканале благодаря простоте реализации и широкой поддержке в legacy оборудовании. Alpha Platform предоставляет готовый модуль с нативной Linux поддержкой и integration в промышленную архитектуру с буферизацией и отказоустойчивостью.</w:t>
      </w:r>
    </w:p>
    <w:p>
      <w:r>
        <w:t>Выбор протокола зависит от архитектурных требований:</w:t>
      </w:r>
    </w:p>
    <w:p>
      <w:pPr>
        <w:pStyle w:val="ListBullet"/>
      </w:pPr>
      <w:r>
        <w:t>Modbus RTU/TCP — для простых применений с ограниченным числом тегов (до 1000)</w:t>
      </w:r>
    </w:p>
    <w:p>
      <w:pPr>
        <w:pStyle w:val="ListBullet"/>
      </w:pPr>
      <w:r>
        <w:t>IEC 60870-5-104 — для телемеханики среднего масштаба с requirement по time synchronization и event handling (1000-50000 тегов)</w:t>
      </w:r>
    </w:p>
    <w:p>
      <w:pPr>
        <w:pStyle w:val="ListBullet"/>
      </w:pPr>
      <w:r>
        <w:t>OPC UA — для современных индустриальных применений с security требованиями и semantic interoperability (50000+ тегов)</w:t>
      </w:r>
    </w:p>
    <w:p>
      <w:r>
        <w:t>Понимание внутреннего устройства IEC-104 критично для диагностики проблем на объектах: неправильная настройка параметров протокола может приводить к потере данных или нестабильной работе телемеханики. Детальная документация API модуля IEC-104 в Alpha Platform не является публично доступной; фокус данной статьи — на конфигурационном уровне интеграции и решении типичных проблем.</w:t>
      </w:r>
    </w:p>
    <w:p>
      <w:r>
        <w:t>Автор: Разработчик specialtechnology.ru</w:t>
      </w:r>
    </w:p>
    <w:p>
      <w:r>
        <w:t>Дата публикации: Март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