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Аналитическая справка</w:t>
      </w:r>
    </w:p>
    <w:p>
      <w:pPr>
        <w:pStyle w:val="Heading2"/>
      </w:pPr>
      <w:r>
        <w:t>по функциональному составу артикулов Alpha Platform и развитию функциональности в 2024–2026 гг. (расширенная версия)</w:t>
      </w:r>
    </w:p>
    <w:p>
      <w:pPr>
        <w:pStyle w:val="Heading2"/>
      </w:pPr>
      <w:r>
        <w:t>1. Назначение документа</w:t>
      </w:r>
    </w:p>
    <w:p>
      <w:r>
        <w:rPr>
          <w:rFonts w:ascii="Times New Roman" w:hAnsi="Times New Roman"/>
          <w:sz w:val="24"/>
        </w:rPr>
        <w:t>Настоящий документ подготовлен в целях систематизации сведений по артикулам Alpha Platform, представленным в исходной спецификации компонентов.</w:t>
      </w:r>
    </w:p>
    <w:p>
      <w:r>
        <w:rPr>
          <w:rFonts w:ascii="Times New Roman" w:hAnsi="Times New Roman"/>
          <w:sz w:val="24"/>
        </w:rPr>
        <w:t>Для каждого артикула в документе отражены:</w:t>
      </w:r>
    </w:p>
    <w:p>
      <w:pPr>
        <w:pStyle w:val="ListBullet"/>
      </w:pPr>
      <w:r>
        <w:t>состав решения по основным функциональным компонентам;</w:t>
      </w:r>
    </w:p>
    <w:p>
      <w:pPr>
        <w:pStyle w:val="ListBullet"/>
      </w:pPr>
      <w:r>
        <w:t>назначение и базовый функционал соответствующих компонентов по состоянию **до 2024 года**;</w:t>
      </w:r>
    </w:p>
    <w:p>
      <w:pPr>
        <w:pStyle w:val="ListBullet"/>
      </w:pPr>
      <w:r>
        <w:t>развитие функциональности и новые возможности, появившиеся в период **2024–2026 гг.**;</w:t>
      </w:r>
    </w:p>
    <w:p>
      <w:pPr>
        <w:pStyle w:val="ListBullet"/>
      </w:pPr>
      <w:r>
        <w:t>**практическое сопровождение** с ссылками на инструкции техподдержки;</w:t>
      </w:r>
    </w:p>
    <w:p>
      <w:pPr>
        <w:pStyle w:val="ListBullet"/>
      </w:pPr>
      <w:r>
        <w:t>итоговое влияние изменений на прикладовые возможности соответствующего артикула.</w:t>
      </w:r>
    </w:p>
    <w:p>
      <w:pPr>
        <w:pStyle w:val="Heading2"/>
      </w:pPr>
      <w:r>
        <w:t>2. Основания для подготовки</w:t>
      </w:r>
    </w:p>
    <w:p>
      <w:r>
        <w:rPr>
          <w:rFonts w:ascii="Times New Roman" w:hAnsi="Times New Roman"/>
          <w:sz w:val="24"/>
        </w:rPr>
        <w:t>Документ сформирован на основе следующих материалов:</w:t>
      </w:r>
    </w:p>
    <w:p>
      <w:pPr>
        <w:pStyle w:val="ListBullet"/>
      </w:pPr>
      <w:r>
        <w:t>таблицы артикулов и компонентного состава;</w:t>
      </w:r>
    </w:p>
    <w:p>
      <w:pPr>
        <w:pStyle w:val="ListBullet"/>
      </w:pPr>
      <w:r>
        <w:t>архива release notes и рассылок по продуктам Alpha Platform;</w:t>
      </w:r>
    </w:p>
    <w:p>
      <w:pPr>
        <w:pStyle w:val="ListBullet"/>
      </w:pPr>
      <w:r>
        <w:t>аудита изменений `Alpha.Server` и `Alpha.Historian` за 2021–2026 гг.;</w:t>
      </w:r>
    </w:p>
    <w:p>
      <w:pPr>
        <w:pStyle w:val="ListBullet"/>
      </w:pPr>
      <w:r>
        <w:t>внутренне нормализованных соответствий между историческими и актуальными наименованиями компонентов;</w:t>
      </w:r>
    </w:p>
    <w:p>
      <w:pPr>
        <w:pStyle w:val="ListBullet"/>
      </w:pPr>
      <w:r>
        <w:t>**инструкций технической поддержки по развёртыванию, настройке и диагностике компонентов**.</w:t>
      </w:r>
    </w:p>
    <w:p>
      <w:pPr>
        <w:pStyle w:val="Heading2"/>
      </w:pPr>
      <w:r>
        <w:t>3. Методический подход</w:t>
      </w:r>
    </w:p>
    <w:p>
      <w:r>
        <w:rPr>
          <w:rFonts w:ascii="Times New Roman" w:hAnsi="Times New Roman"/>
          <w:sz w:val="24"/>
        </w:rPr>
        <w:t>При подготовке документа использовались следующие принципы:</w:t>
      </w:r>
    </w:p>
    <w:p>
      <w:r>
        <w:rPr>
          <w:rFonts w:ascii="Times New Roman" w:hAnsi="Times New Roman"/>
          <w:sz w:val="24"/>
        </w:rPr>
        <w:t>1. Исторические и внутренние наименования компонентов из исходной таблицы интерпретированы через актуальные продуктовые сущности Alpha Platform.</w:t>
      </w:r>
    </w:p>
    <w:p>
      <w:r>
        <w:rPr>
          <w:rFonts w:ascii="Times New Roman" w:hAnsi="Times New Roman"/>
          <w:sz w:val="24"/>
        </w:rPr>
        <w:t>2. В документ включены только те компоненты, по которым в изученных материалах зафиксированы содержательные функциональные изменения.</w:t>
      </w:r>
    </w:p>
    <w:p>
      <w:r>
        <w:rPr>
          <w:rFonts w:ascii="Times New Roman" w:hAnsi="Times New Roman"/>
          <w:sz w:val="24"/>
        </w:rPr>
        <w:t>3. Если несколько артикулов имеют одинаковый функциональный состав и различаются только лицензируемой ёмкостью, это отражено как масштабное, а не функциональное отличие.</w:t>
      </w:r>
    </w:p>
    <w:p>
      <w:r>
        <w:rPr>
          <w:rFonts w:ascii="Times New Roman" w:hAnsi="Times New Roman"/>
          <w:sz w:val="24"/>
        </w:rPr>
        <w:t>4. **Для каждого компонента с доступными инструкциями техподдержки добавлены разделы "Практическое сопровождение" с ссылками на конкретные руководства.**</w:t>
      </w:r>
    </w:p>
    <w:p>
      <w:pPr>
        <w:pStyle w:val="Heading2"/>
      </w:pPr>
      <w:r>
        <w:t>4. Нормализация терминологии</w:t>
      </w:r>
    </w:p>
    <w:p>
      <w:r>
        <w:rPr>
          <w:rFonts w:ascii="Times New Roman" w:hAnsi="Times New Roman"/>
          <w:sz w:val="24"/>
        </w:rPr>
        <w:t>Для целей настоящего документа используются следующие соответствия:</w:t>
      </w:r>
    </w:p>
    <w:p>
      <w:pPr>
        <w:pStyle w:val="ListBullet"/>
      </w:pPr>
      <w:r>
        <w:t>`Server`, `Server.Core` → **Alpha.Server**;</w:t>
      </w:r>
    </w:p>
    <w:p>
      <w:pPr>
        <w:pStyle w:val="ListBullet"/>
      </w:pPr>
      <w:r>
        <w:t>`Historian`, `History.H` → **Alpha.Historian**;</w:t>
      </w:r>
    </w:p>
    <w:p>
      <w:pPr>
        <w:pStyle w:val="ListBullet"/>
      </w:pPr>
      <w:r>
        <w:t>`History.SQL` → модуль истории Alpha.Server / SQL-хранилища;</w:t>
      </w:r>
    </w:p>
    <w:p>
      <w:pPr>
        <w:pStyle w:val="ListBullet"/>
      </w:pPr>
      <w:r>
        <w:t>`DevStudio`, `Developer.Studio` → **Alpha.DevStudio**;</w:t>
      </w:r>
    </w:p>
    <w:p>
      <w:pPr>
        <w:pStyle w:val="ListBullet"/>
      </w:pPr>
      <w:r>
        <w:t>`WebViewer`, `HMI-WebViewer` → **Alpha.HMI.WebViewer**;</w:t>
      </w:r>
    </w:p>
    <w:p>
      <w:pPr>
        <w:pStyle w:val="ListBullet"/>
      </w:pPr>
      <w:r>
        <w:t>`HMI.Alarms`, `Alarms` → **Alpha.HMI.Alarms**;</w:t>
      </w:r>
    </w:p>
    <w:p>
      <w:pPr>
        <w:pStyle w:val="ListBullet"/>
      </w:pPr>
      <w:r>
        <w:t>`HMI.Trends`, `Trends` → трендовый контур Alpha.HMI / графический контур Alpha.HMI;</w:t>
      </w:r>
    </w:p>
    <w:p>
      <w:pPr>
        <w:pStyle w:val="ListBullet"/>
      </w:pPr>
      <w:r>
        <w:t>`RMap` → **Alpha.RMap**.</w:t>
      </w:r>
    </w:p>
    <w:p>
      <w:r>
        <w:rPr>
          <w:rFonts w:ascii="Times New Roman" w:hAnsi="Times New Roman"/>
          <w:sz w:val="24"/>
        </w:rPr>
        <w:t>---</w:t>
      </w:r>
    </w:p>
    <w:p>
      <w:pPr>
        <w:pStyle w:val="Heading1"/>
      </w:pPr>
      <w:r>
        <w:t>5. Артикулы одиночно стоящего АРМ</w:t>
      </w:r>
    </w:p>
    <w:p>
      <w:r>
        <w:rPr>
          <w:rFonts w:ascii="Times New Roman" w:hAnsi="Times New Roman"/>
          <w:sz w:val="24"/>
        </w:rPr>
        <w:t>К данному семейству относятся следующие артикула:</w:t>
      </w:r>
    </w:p>
    <w:p>
      <w:pPr>
        <w:pStyle w:val="ListBullet"/>
      </w:pPr>
      <w:r>
        <w:t>`TN-CPA-ARM-5K`;</w:t>
      </w:r>
    </w:p>
    <w:p>
      <w:pPr>
        <w:pStyle w:val="ListBullet"/>
      </w:pPr>
      <w:r>
        <w:t>`TN-CPA-ARM-10K`;</w:t>
      </w:r>
    </w:p>
    <w:p>
      <w:pPr>
        <w:pStyle w:val="ListBullet"/>
      </w:pPr>
      <w:r>
        <w:t>`TN-CPA-ARM-25K`.</w:t>
      </w:r>
    </w:p>
    <w:p>
      <w:pPr>
        <w:pStyle w:val="Heading2"/>
      </w:pPr>
      <w:r>
        <w:t>5.1. Общая характеристика семейства</w:t>
      </w:r>
    </w:p>
    <w:p>
      <w:r>
        <w:rPr>
          <w:rFonts w:ascii="Times New Roman" w:hAnsi="Times New Roman"/>
          <w:sz w:val="24"/>
        </w:rPr>
        <w:t>Указанные артикула имеют близкий функциональный состав и различаются прежде всего лицензируемой ёмкостью серверного ядра:</w:t>
      </w:r>
    </w:p>
    <w:p>
      <w:pPr>
        <w:pStyle w:val="ListBullet"/>
      </w:pPr>
      <w:r>
        <w:t>`TN-CPA-ARM-5K` — уровень `Server.Core 5000`;</w:t>
      </w:r>
    </w:p>
    <w:p>
      <w:pPr>
        <w:pStyle w:val="ListBullet"/>
      </w:pPr>
      <w:r>
        <w:t>`TN-CPA-ARM-10K` — уровень `Server.Core 10000`;</w:t>
      </w:r>
    </w:p>
    <w:p>
      <w:pPr>
        <w:pStyle w:val="ListBullet"/>
      </w:pPr>
      <w:r>
        <w:t>`TN-CPA-ARM-25K` — уровень `Server.Core 25000`.</w:t>
      </w:r>
    </w:p>
    <w:p>
      <w:r>
        <w:rPr>
          <w:rFonts w:ascii="Times New Roman" w:hAnsi="Times New Roman"/>
          <w:sz w:val="24"/>
        </w:rPr>
        <w:t>Таким образом, различия между данными артикулами носят в первую очередь **масштабный характер**, тогда как их функциональная логика и прикладовое назначение совпадают.</w:t>
      </w:r>
    </w:p>
    <w:p>
      <w:pPr>
        <w:pStyle w:val="Heading2"/>
      </w:pPr>
      <w:r>
        <w:t>5.2. Функциональные компоненты семейства ARM</w:t>
      </w:r>
    </w:p>
    <w:p>
      <w:pPr>
        <w:pStyle w:val="Heading3"/>
      </w:pPr>
      <w:r>
        <w:t>5.2.1. Alpha.Server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Alpha.Server выступает в качестве серверного ядра решения и обеспечивает:</w:t>
      </w:r>
    </w:p>
    <w:p>
      <w:pPr>
        <w:pStyle w:val="ListBullet"/>
      </w:pPr>
      <w:r>
        <w:t>сбор, обработку и маршрутизацию технологических данных;</w:t>
      </w:r>
    </w:p>
    <w:p>
      <w:pPr>
        <w:pStyle w:val="ListBullet"/>
      </w:pPr>
      <w:r>
        <w:t>выполнение вычислений, логики и событийной обработки;</w:t>
      </w:r>
    </w:p>
    <w:p>
      <w:pPr>
        <w:pStyle w:val="ListBullet"/>
      </w:pPr>
      <w:r>
        <w:t>работу с промышленными протоколами связи;</w:t>
      </w:r>
    </w:p>
    <w:p>
      <w:pPr>
        <w:pStyle w:val="ListBullet"/>
      </w:pPr>
      <w:r>
        <w:t>резервирование, буферизацию и обмен с клиентскими приложениями;</w:t>
      </w:r>
    </w:p>
    <w:p>
      <w:pPr>
        <w:pStyle w:val="ListBullet"/>
      </w:pPr>
      <w:r>
        <w:t>интеграцию с HMI- и историческими компонентами.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рассматриваемый период Alpha.Server являлся ключевым драйвером развития всего семейства ARM-артикулов. Наиболее значимые изменения:</w:t>
      </w:r>
    </w:p>
    <w:p>
      <w:pPr>
        <w:pStyle w:val="ListBullet"/>
      </w:pPr>
      <w:r>
        <w:t>развитие механизмов буферизации и транзакционной обработки данных;</w:t>
      </w:r>
    </w:p>
    <w:p>
      <w:pPr>
        <w:pStyle w:val="ListBullet"/>
      </w:pPr>
      <w:r>
        <w:t>расширение функций резервирования и диагностики;</w:t>
      </w:r>
    </w:p>
    <w:p>
      <w:pPr>
        <w:pStyle w:val="ListBullet"/>
      </w:pPr>
      <w:r>
        <w:t>развитие связки `TCP Server ↔ HUB` и сценариев сетевой интеграции;</w:t>
      </w:r>
    </w:p>
    <w:p>
      <w:pPr>
        <w:pStyle w:val="ListBullet"/>
      </w:pPr>
      <w:r>
        <w:t>появление и развитие `Syslog Client`;</w:t>
      </w:r>
    </w:p>
    <w:p>
      <w:pPr>
        <w:pStyle w:val="ListBullet"/>
      </w:pPr>
      <w:r>
        <w:t>развитие промышленной коммуникации по направлениям `IEC-104`, `Modbus`, `OPC UA`, `SNMP`, `MQTT`, BACnet;</w:t>
      </w:r>
    </w:p>
    <w:p>
      <w:pPr>
        <w:pStyle w:val="ListBullet"/>
      </w:pPr>
      <w:r>
        <w:t>расширение механизмов фильтрации значений и контроля конфигураций резервных пар;</w:t>
      </w:r>
    </w:p>
    <w:p>
      <w:pPr>
        <w:pStyle w:val="ListBullet"/>
      </w:pPr>
      <w:r>
        <w:t>повышение отказоустойчивости и управляемости каналов и устройств.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**Резервирование**: "Инструкция по настройке развёртывания с резервированием.docx", "Резервирование и АР.docx", "Гайд по работе и настройке резервирования и развёртывания.pdf/.pptx"</w:t>
      </w:r>
    </w:p>
    <w:p>
      <w:pPr>
        <w:pStyle w:val="ListBullet"/>
      </w:pPr>
      <w:r>
        <w:t>**Настройка системы безопасности**: "Alpha.Security стартовая инструкция.docx", "Инструкция по настройке аудита.docx", "Alpha.Security Start Guide.docx"</w:t>
      </w:r>
    </w:p>
    <w:p>
      <w:pPr>
        <w:pStyle w:val="ListBullet"/>
      </w:pPr>
      <w:r>
        <w:t>**Сетевые конфигурации**: "Инструкция по настройке Domain.docx"</w:t>
      </w:r>
    </w:p>
    <w:p>
      <w:pPr>
        <w:pStyle w:val="ListBullet"/>
      </w:pPr>
      <w:r>
        <w:t>**OpenLDAP интеграция**: "Инструкция по настройке OpenLDAP RedOS.docx", "Инструкция по обновлению сертификатов.docx"</w:t>
      </w:r>
    </w:p>
    <w:p>
      <w:pPr>
        <w:pStyle w:val="ListBullet"/>
      </w:pPr>
      <w:r>
        <w:t>**Modbus связь**: "Инструкция по использованию категории данных модулем ModbusTcpMaster.docx"</w:t>
      </w:r>
    </w:p>
    <w:p>
      <w:pPr>
        <w:pStyle w:val="ListBullet"/>
      </w:pPr>
      <w:r>
        <w:t>**SnapShot**: "Инструкция настройке SnapShot.docx"</w:t>
      </w:r>
    </w:p>
    <w:p>
      <w:pPr>
        <w:pStyle w:val="ListBullet"/>
      </w:pPr>
      <w:r>
        <w:t>**Диагностика**: "Инструкция по снятия дампа утечки памяти(виртуальная).docx", "Слежение за процессами с помощью ProcessMonitor.docx"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Развитие Alpha.Server в 2024–2026 гг. привело к расширению интеграционных возможностей одиночно стоящих АРМ, повышению устойчивости обмена, улучшению резервирования и усилению прикладовой ценности решения как узла диспетчеризации и оперативного управления.</w:t>
      </w:r>
    </w:p>
    <w:p>
      <w:pPr>
        <w:pStyle w:val="Heading3"/>
      </w:pPr>
      <w:r>
        <w:t>5.2.2. Alpha.HMI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Alpha.HMI обеспечивает создание и исполнение человеко-машинных интерфейсов:</w:t>
      </w:r>
    </w:p>
    <w:p>
      <w:pPr>
        <w:pStyle w:val="ListBullet"/>
      </w:pPr>
      <w:r>
        <w:t>мнемосхем, экранных форм и панелей визуализации;</w:t>
      </w:r>
    </w:p>
    <w:p>
      <w:pPr>
        <w:pStyle w:val="ListBullet"/>
      </w:pPr>
      <w:r>
        <w:t>интерактивных элементов управления;</w:t>
      </w:r>
    </w:p>
    <w:p>
      <w:pPr>
        <w:pStyle w:val="ListBullet"/>
      </w:pPr>
      <w:r>
        <w:t>скриптовой логики и визуального представления данных;</w:t>
      </w:r>
    </w:p>
    <w:p>
      <w:pPr>
        <w:pStyle w:val="ListBullet"/>
      </w:pPr>
      <w:r>
        <w:t>доступа к оперативным и историческим данным.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2024 году зафиксировано заметное развитие пользовательского и инженерного контура Alpha.HMI:</w:t>
      </w:r>
    </w:p>
    <w:p>
      <w:pPr>
        <w:pStyle w:val="ListBullet"/>
      </w:pPr>
      <w:r>
        <w:t>расширены возможности навигации, переходов и поиска по проекту;</w:t>
      </w:r>
    </w:p>
    <w:p>
      <w:pPr>
        <w:pStyle w:val="ListBullet"/>
      </w:pPr>
      <w:r>
        <w:t>добавлены новые пользовательские компоненты и сценарии печати;</w:t>
      </w:r>
    </w:p>
    <w:p>
      <w:pPr>
        <w:pStyle w:val="ListBullet"/>
      </w:pPr>
      <w:r>
        <w:t>улучшены механизмы редактирования линий, layout и работы с контрольными значениями;</w:t>
      </w:r>
    </w:p>
    <w:p>
      <w:pPr>
        <w:pStyle w:val="ListBullet"/>
      </w:pPr>
      <w:r>
        <w:t>усилены возможности проектирования и сопровождения HMI-проектов;</w:t>
      </w:r>
    </w:p>
    <w:p>
      <w:pPr>
        <w:pStyle w:val="ListBullet"/>
      </w:pPr>
      <w:r>
        <w:t>улучшена стабильность исполнения и редактирования на Windows и Linux.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**Парольная защита**: "Инструкция по использованию элемента Учётные данные AP_Credentials/Инструкция.docx"</w:t>
      </w:r>
    </w:p>
    <w:p>
      <w:pPr>
        <w:pStyle w:val="ListBullet"/>
      </w:pPr>
      <w:r>
        <w:t>**Диагностика**: "Снять дамп через WinDBG.docx" (для Alpha.HMI.Viewer)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В результате одиночно стоящий АРМ получил более зрелый и удобный интерфейс эксплуатации, а также более развитую среду визуального проектирования и сопровождения.</w:t>
      </w:r>
    </w:p>
    <w:p>
      <w:pPr>
        <w:pStyle w:val="Heading3"/>
      </w:pPr>
      <w:r>
        <w:t>5.2.3. Alpha.HMI.WebViewer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Alpha.HMI.WebViewer обеспечивает веб-доступ к HMI-проектам через браузер и позволяет развертывать визуализацию в веб-среде.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исследуемый период были расширены:</w:t>
      </w:r>
    </w:p>
    <w:p>
      <w:pPr>
        <w:pStyle w:val="ListBullet"/>
      </w:pPr>
      <w:r>
        <w:t>параметры взаимодействия с приложением через URL;</w:t>
      </w:r>
    </w:p>
    <w:p>
      <w:pPr>
        <w:pStyle w:val="ListBullet"/>
      </w:pPr>
      <w:r>
        <w:t>возможности навигации и работы с деревом в веб-интерфейсе;</w:t>
      </w:r>
    </w:p>
    <w:p>
      <w:pPr>
        <w:pStyle w:val="ListBullet"/>
      </w:pPr>
      <w:r>
        <w:t>точность позиционирования графических объектов;</w:t>
      </w:r>
    </w:p>
    <w:p>
      <w:pPr>
        <w:pStyle w:val="ListBullet"/>
      </w:pPr>
      <w:r>
        <w:t>эффективность использования памяти;</w:t>
      </w:r>
    </w:p>
    <w:p>
      <w:pPr>
        <w:pStyle w:val="ListBullet"/>
      </w:pPr>
      <w:r>
        <w:t>стабильность работы canvas-компонентов, фреймов, форм, контекстных меню и печати.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**Docker развёртывание**: "Запуск WebViewer в Docker.docx"</w:t>
      </w:r>
    </w:p>
    <w:p>
      <w:pPr>
        <w:pStyle w:val="ListBullet"/>
      </w:pPr>
      <w:r>
        <w:t>**Apache HTTPS**: "Настройка Apache и создания самоподписанных сертификатов на Astra.docx"</w:t>
      </w:r>
    </w:p>
    <w:p>
      <w:pPr>
        <w:pStyle w:val="ListBullet"/>
      </w:pPr>
      <w:r>
        <w:t>**Базовая установка**: "Alpha.HMI.WebViewer Инструкция.docx"</w:t>
      </w:r>
    </w:p>
    <w:p>
      <w:pPr>
        <w:pStyle w:val="ListBullet"/>
      </w:pPr>
      <w:r>
        <w:t>**NGINX интеграция**: "Инструкция по установке NGINX и webviewer.docx"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Развитие WebViewer повысило качество удалённого доступа к АРМ через браузер и улучшило пользовательский опыт при эксплуатации HMI-проектов в веб-режиме.</w:t>
      </w:r>
    </w:p>
    <w:p>
      <w:pPr>
        <w:pStyle w:val="Heading3"/>
      </w:pPr>
      <w:r>
        <w:t>5.2.4. Alpha.HMI.Alarms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Alpha.HMI.Alarms предназначен для:</w:t>
      </w:r>
    </w:p>
    <w:p>
      <w:pPr>
        <w:pStyle w:val="ListBullet"/>
      </w:pPr>
      <w:r>
        <w:t>отображения оперативных и исторических событий;</w:t>
      </w:r>
    </w:p>
    <w:p>
      <w:pPr>
        <w:pStyle w:val="ListBullet"/>
      </w:pPr>
      <w:r>
        <w:t>фильтрации и сортировки тревог;</w:t>
      </w:r>
    </w:p>
    <w:p>
      <w:pPr>
        <w:pStyle w:val="ListBullet"/>
      </w:pPr>
      <w:r>
        <w:t>квитирования событий;</w:t>
      </w:r>
    </w:p>
    <w:p>
      <w:pPr>
        <w:pStyle w:val="ListBullet"/>
      </w:pPr>
      <w:r>
        <w:t>печати и экспорта;</w:t>
      </w:r>
    </w:p>
    <w:p>
      <w:pPr>
        <w:pStyle w:val="ListBullet"/>
      </w:pPr>
      <w:r>
        <w:t>визуальной и звуковой сигнализации.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рассматриваемом периоде были реализованы и доработаны:</w:t>
      </w:r>
    </w:p>
    <w:p>
      <w:pPr>
        <w:pStyle w:val="ListBullet"/>
      </w:pPr>
      <w:r>
        <w:t>оформление через темы, включая панель инструментов и контекстные меню;</w:t>
      </w:r>
    </w:p>
    <w:p>
      <w:pPr>
        <w:pStyle w:val="ListBullet"/>
      </w:pPr>
      <w:r>
        <w:t>гибкое управление звуковым сопровождением событий;</w:t>
      </w:r>
    </w:p>
    <w:p>
      <w:pPr>
        <w:pStyle w:val="ListBullet"/>
      </w:pPr>
      <w:r>
        <w:t>улучшенные сценарии печати, фильтрации и работы с историческими выборками;</w:t>
      </w:r>
    </w:p>
    <w:p>
      <w:pPr>
        <w:pStyle w:val="ListBullet"/>
      </w:pPr>
      <w:r>
        <w:t>исправления пользовательских столбцов, сортировки, прокрутки и работы в Linux;</w:t>
      </w:r>
    </w:p>
    <w:p>
      <w:pPr>
        <w:pStyle w:val="ListBullet"/>
      </w:pPr>
      <w:r>
        <w:t>более качественная интеграция с серверным контуром событий Alpha.Server.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**Динамические атрибуты**: "Создание атрибута события с динамическим значением.docx"</w:t>
      </w:r>
    </w:p>
    <w:p>
      <w:pPr>
        <w:pStyle w:val="ListBullet"/>
      </w:pPr>
      <w:r>
        <w:t>**Настройка аудита**: "Инструкция по настройке аудита.docx" (интеграция с Alpha.Security)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Это повысило качество диспетчерского контроля, удобство работы с аварийной информацией и гибкость настройки тревожного интерфейса.</w:t>
      </w:r>
    </w:p>
    <w:p>
      <w:pPr>
        <w:pStyle w:val="Heading3"/>
      </w:pPr>
      <w:r>
        <w:t>5.2.5. Трендовый и графический контур Alpha.HMI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Трендовый контур решения обеспечивал:</w:t>
      </w:r>
    </w:p>
    <w:p>
      <w:pPr>
        <w:pStyle w:val="ListBullet"/>
      </w:pPr>
      <w:r>
        <w:t>отображение оперативных и исторических графиков;</w:t>
      </w:r>
    </w:p>
    <w:p>
      <w:pPr>
        <w:pStyle w:val="ListBullet"/>
      </w:pPr>
      <w:r>
        <w:t>экспорт и печать данных;</w:t>
      </w:r>
    </w:p>
    <w:p>
      <w:pPr>
        <w:pStyle w:val="ListBullet"/>
      </w:pPr>
      <w:r>
        <w:t>работу с легендой, реперами, диапазонами и пользовательским деревом сигналов.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Зафиксированы следующие значимые улучшения:</w:t>
      </w:r>
    </w:p>
    <w:p>
      <w:pPr>
        <w:pStyle w:val="ListBullet"/>
      </w:pPr>
      <w:r>
        <w:t>подключение к произвольному серверу при запуске трендового приложения;</w:t>
      </w:r>
    </w:p>
    <w:p>
      <w:pPr>
        <w:pStyle w:val="ListBullet"/>
      </w:pPr>
      <w:r>
        <w:t>появление компактного типа `Trends_Indicator` для встраивания трендов в мнемосхемы;</w:t>
      </w:r>
    </w:p>
    <w:p>
      <w:pPr>
        <w:pStyle w:val="ListBullet"/>
      </w:pPr>
      <w:r>
        <w:t>поддержка колонтитулов при печати и экспорте;</w:t>
      </w:r>
    </w:p>
    <w:p>
      <w:pPr>
        <w:pStyle w:val="ListBullet"/>
      </w:pPr>
      <w:r>
        <w:t>ограничение прав доступа к печати и экспорту;</w:t>
      </w:r>
    </w:p>
    <w:p>
      <w:pPr>
        <w:pStyle w:val="ListBullet"/>
      </w:pPr>
      <w:r>
        <w:t>развитие графического контура (`Charts`): расширенная загрузка графиков, управление выносками репера, линейный пересчёт данных, улучшение минитрендов и таблицы данных;</w:t>
      </w:r>
    </w:p>
    <w:p>
      <w:pPr>
        <w:pStyle w:val="ListBullet"/>
      </w:pPr>
      <w:r>
        <w:t>исправления проблем исторической подгрузки, отображения диапазонов и работы в WebViewer.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**Пользовательский интерфейс**: "Создание диалогового окна для работы со свойствами hmi.trends/Инструкция.docx"</w:t>
      </w:r>
    </w:p>
    <w:p>
      <w:pPr>
        <w:pStyle w:val="ListBullet"/>
      </w:pPr>
      <w:r>
        <w:t>**Конфигурирование графиков**: "Alpha.Charts стартовая инструкция.docx"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Трендовый контур стал удобнее для анализа технологических параметров, подготовки отчётных материалов и визуального контроля процесса в оперативном режиме.</w:t>
      </w:r>
    </w:p>
    <w:p>
      <w:pPr>
        <w:pStyle w:val="Heading3"/>
      </w:pPr>
      <w:r>
        <w:t>5.2.6. Alpha.HMI.Tables и Alpha.HMI.CommonLib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Данные компоненты обеспечивали:</w:t>
      </w:r>
    </w:p>
    <w:p>
      <w:pPr>
        <w:pStyle w:val="ListBullet"/>
      </w:pPr>
      <w:r>
        <w:t>табличное представление данных;</w:t>
      </w:r>
    </w:p>
    <w:p>
      <w:pPr>
        <w:pStyle w:val="ListBullet"/>
      </w:pPr>
      <w:r>
        <w:t>работу со служебными и пользовательскими таблицами;</w:t>
      </w:r>
    </w:p>
    <w:p>
      <w:pPr>
        <w:pStyle w:val="ListBullet"/>
      </w:pPr>
      <w:r>
        <w:t>вспомогательные визуальные и инфраструктурные функции HMI-проектов.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2024 году выполнена стабилизация и доработка табличного и библиотечного контура:</w:t>
      </w:r>
    </w:p>
    <w:p>
      <w:pPr>
        <w:pStyle w:val="ListBullet"/>
      </w:pPr>
      <w:r>
        <w:t>улучшены заголовки, масштабирование и графическая отрисовка таблиц;</w:t>
      </w:r>
    </w:p>
    <w:p>
      <w:pPr>
        <w:pStyle w:val="ListBullet"/>
      </w:pPr>
      <w:r>
        <w:t>устранены проблемы экспорта больших объёмов в PDF;</w:t>
      </w:r>
    </w:p>
    <w:p>
      <w:pPr>
        <w:pStyle w:val="ListBullet"/>
      </w:pPr>
      <w:r>
        <w:t>исправлены связанные ошибки HMI.Alarms и HMI.SetPoints;</w:t>
      </w:r>
    </w:p>
    <w:p>
      <w:pPr>
        <w:pStyle w:val="ListBullet"/>
      </w:pPr>
      <w:r>
        <w:t>добавлены новые общие компоненты и расширены возможности тем оформления, поиска и временных редакторов.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**Базовая настройка**: "Alpha.Tables стартовая инструкция.docx"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Это улучшило стабильность, читаемость и эксплуатационную пригодность экранных решений, насыщенных таблицами, списками событий и редакторами параметров.</w:t>
      </w:r>
    </w:p>
    <w:p>
      <w:pPr>
        <w:pStyle w:val="Heading3"/>
      </w:pPr>
      <w:r>
        <w:t>5.2.7. Alpha.DevStudio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Alpha.DevStudio является инженерной средой проектирования, сборки, публикации и развёртывания систем Alpha Platform.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2024 году были реализованы значимые инженерные улучшения:</w:t>
      </w:r>
    </w:p>
    <w:p>
      <w:pPr>
        <w:pStyle w:val="ListBullet"/>
      </w:pPr>
      <w:r>
        <w:t>публикация модулей и сборка проектов через CLI;</w:t>
      </w:r>
    </w:p>
    <w:p>
      <w:pPr>
        <w:pStyle w:val="ListBullet"/>
      </w:pPr>
      <w:r>
        <w:t>сборка отдельных проектов внутри решения;</w:t>
      </w:r>
    </w:p>
    <w:p>
      <w:pPr>
        <w:pStyle w:val="ListBullet"/>
      </w:pPr>
      <w:r>
        <w:t>пользовательские атрибуты событий и вычисляемая важность;</w:t>
      </w:r>
    </w:p>
    <w:p>
      <w:pPr>
        <w:pStyle w:val="ListBullet"/>
      </w:pPr>
      <w:r>
        <w:t>развитие BACnet, SQL Connector, Snapshot, SMTP, UNET и сетевого проектирования;</w:t>
      </w:r>
    </w:p>
    <w:p>
      <w:pPr>
        <w:pStyle w:val="ListBullet"/>
      </w:pPr>
      <w:r>
        <w:t>настройка диапазонов для графиков и выбор сокетов для пользовательского дерева трендов;</w:t>
      </w:r>
    </w:p>
    <w:p>
      <w:pPr>
        <w:pStyle w:val="ListBullet"/>
      </w:pPr>
      <w:r>
        <w:t>раннее определение номера развёртывания уже на стадии компиляции;</w:t>
      </w:r>
    </w:p>
    <w:p>
      <w:pPr>
        <w:pStyle w:val="ListBullet"/>
      </w:pPr>
      <w:r>
        <w:t>повышение корректности построения конфигураций и снижение риска ошибочного развёртывания.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Проектирование и развёртывание поддерживается через общие инструкции по компонентам, включая:</w:t>
      </w:r>
    </w:p>
    <w:p>
      <w:pPr>
        <w:pStyle w:val="ListBullet"/>
      </w:pPr>
      <w:r>
        <w:t>**Обновления**: "Обновление компонентов AlphaPlatform.docx"</w:t>
      </w:r>
    </w:p>
    <w:p>
      <w:pPr>
        <w:pStyle w:val="ListBullet"/>
      </w:pPr>
      <w:r>
        <w:t>**Резервирование**: все инструкции по резервированию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Развитие DevStudio повысило технологичность подготовки и сопровождения АРМ, упростило выпуск корректных конфигураций и улучшило управляемость жизненного цикла проекта.</w:t>
      </w:r>
    </w:p>
    <w:p>
      <w:pPr>
        <w:pStyle w:val="Heading3"/>
      </w:pPr>
      <w:r>
        <w:t>5.2.8. Коммуникационные и серверные модули</w:t>
      </w:r>
    </w:p>
    <w:p>
      <w:r>
        <w:rPr>
          <w:rFonts w:ascii="Times New Roman" w:hAnsi="Times New Roman"/>
          <w:sz w:val="24"/>
        </w:rPr>
        <w:t>К числу наиболее значимых развивавшихся в 2024–2026 гг. модулей, входящих в состав ARM-артикулов, относятся:</w:t>
      </w:r>
    </w:p>
    <w:p>
      <w:pPr>
        <w:pStyle w:val="ListBullet"/>
      </w:pPr>
      <w:r>
        <w:t>`IEC-101 Master / Slave`;</w:t>
      </w:r>
    </w:p>
    <w:p>
      <w:pPr>
        <w:pStyle w:val="ListBullet"/>
      </w:pPr>
      <w:r>
        <w:t>`IEC-104 Master / Slave`;</w:t>
      </w:r>
    </w:p>
    <w:p>
      <w:pPr>
        <w:pStyle w:val="ListBullet"/>
      </w:pPr>
      <w:r>
        <w:t>`Modbus RTU Master / Slave`;</w:t>
      </w:r>
    </w:p>
    <w:p>
      <w:pPr>
        <w:pStyle w:val="ListBullet"/>
      </w:pPr>
      <w:r>
        <w:t>`Modbus TCP Master / Slave`;</w:t>
      </w:r>
    </w:p>
    <w:p>
      <w:pPr>
        <w:pStyle w:val="ListBullet"/>
      </w:pPr>
      <w:r>
        <w:t>`OPC UA Client / Server`;</w:t>
      </w:r>
    </w:p>
    <w:p>
      <w:pPr>
        <w:pStyle w:val="ListBullet"/>
      </w:pPr>
      <w:r>
        <w:t>`SNMP Manager`;</w:t>
      </w:r>
    </w:p>
    <w:p>
      <w:pPr>
        <w:pStyle w:val="ListBullet"/>
      </w:pPr>
      <w:r>
        <w:t>`SQL Connector`;</w:t>
      </w:r>
    </w:p>
    <w:p>
      <w:pPr>
        <w:pStyle w:val="ListBullet"/>
      </w:pPr>
      <w:r>
        <w:t>`HUB`;</w:t>
      </w:r>
    </w:p>
    <w:p>
      <w:pPr>
        <w:pStyle w:val="ListBullet"/>
      </w:pPr>
      <w:r>
        <w:t>`Snapshot`;</w:t>
      </w:r>
    </w:p>
    <w:p>
      <w:pPr>
        <w:pStyle w:val="ListBullet"/>
      </w:pPr>
      <w:r>
        <w:t>`Data Buffer`;</w:t>
      </w:r>
    </w:p>
    <w:p>
      <w:pPr>
        <w:pStyle w:val="ListBullet"/>
      </w:pPr>
      <w:r>
        <w:t>`ProcessMonitor`;</w:t>
      </w:r>
    </w:p>
    <w:p>
      <w:pPr>
        <w:pStyle w:val="ListBullet"/>
      </w:pPr>
      <w:r>
        <w:t>`Syslog Client`.</w:t>
      </w:r>
    </w:p>
    <w:p>
      <w:r>
        <w:rPr>
          <w:rFonts w:ascii="Times New Roman" w:hAnsi="Times New Roman"/>
          <w:sz w:val="24"/>
        </w:rPr>
        <w:t>По указанным модулям в 2024–2026 гг. были реализованы улучшения, направленные на:</w:t>
      </w:r>
    </w:p>
    <w:p>
      <w:pPr>
        <w:pStyle w:val="ListBullet"/>
      </w:pPr>
      <w:r>
        <w:t>повышение устойчивости и качества обмена;</w:t>
      </w:r>
    </w:p>
    <w:p>
      <w:pPr>
        <w:pStyle w:val="ListBullet"/>
      </w:pPr>
      <w:r>
        <w:t>расширение сценариев интеграции;</w:t>
      </w:r>
    </w:p>
    <w:p>
      <w:pPr>
        <w:pStyle w:val="ListBullet"/>
      </w:pPr>
      <w:r>
        <w:t>рост функциональной глубины промышленной коммуникации;</w:t>
      </w:r>
    </w:p>
    <w:p>
      <w:pPr>
        <w:pStyle w:val="ListBullet"/>
      </w:pPr>
      <w:r>
        <w:t>улучшение резервирования, диагностики и обработки ошибок.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**Modbus**: "Инструкция по использованию категории данных модулем ModbusTcpMaster.docx"</w:t>
      </w:r>
    </w:p>
    <w:p>
      <w:pPr>
        <w:pStyle w:val="ListBullet"/>
      </w:pPr>
      <w:r>
        <w:t>**SQL Connector**: связанные инструкции по PostgreSQL ("REDOS Установка PostgreSQL11.docx", "Настройка ODBC и PostgreSQL на AstraLinux.docx")</w:t>
      </w:r>
    </w:p>
    <w:p>
      <w:pPr>
        <w:pStyle w:val="ListBullet"/>
      </w:pPr>
      <w:r>
        <w:t>**Snapshot**: "Инструкция настройке SnapShot.docx"</w:t>
      </w:r>
    </w:p>
    <w:p>
      <w:pPr>
        <w:pStyle w:val="ListBullet"/>
      </w:pPr>
      <w:r>
        <w:t>**Сборка данных**: "Инструкция по настройке сборщика данных.docx"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За счёт развития перечисленных модулей одиночно стоящие АРМ получили более зрелый интеграционный контур, улучшенную совместимость с внешними системами и более высокий уровень эксплуатационной надёжности.</w:t>
      </w:r>
    </w:p>
    <w:p>
      <w:pPr>
        <w:pStyle w:val="Heading2"/>
      </w:pPr>
      <w:r>
        <w:t>5.3. Вывод по артикулам семейства ARM</w:t>
      </w:r>
    </w:p>
    <w:p>
      <w:pPr>
        <w:pStyle w:val="Heading3"/>
      </w:pPr>
      <w:r>
        <w:t>TN-CPA-ARM-5K</w:t>
      </w:r>
    </w:p>
    <w:p>
      <w:r>
        <w:rPr>
          <w:rFonts w:ascii="Times New Roman" w:hAnsi="Times New Roman"/>
          <w:sz w:val="24"/>
        </w:rPr>
        <w:t>Представляет собой функционально полный одиночно стоящий АРМ с ограничением по масштабу на уровне `Server.Core 5000`.</w:t>
      </w:r>
    </w:p>
    <w:p>
      <w:pPr>
        <w:pStyle w:val="Heading3"/>
      </w:pPr>
      <w:r>
        <w:t>TN-CPA-ARM-10K</w:t>
      </w:r>
    </w:p>
    <w:p>
      <w:r>
        <w:rPr>
          <w:rFonts w:ascii="Times New Roman" w:hAnsi="Times New Roman"/>
          <w:sz w:val="24"/>
        </w:rPr>
        <w:t>Функционально соответствует `TN-CPA-ARM-5K`, но ориентирован на более крупные проекты за счёт лицензии `Server.Core 10000`.</w:t>
      </w:r>
    </w:p>
    <w:p>
      <w:pPr>
        <w:pStyle w:val="Heading3"/>
      </w:pPr>
      <w:r>
        <w:t>TN-CPA-ARM-25K</w:t>
      </w:r>
    </w:p>
    <w:p>
      <w:r>
        <w:rPr>
          <w:rFonts w:ascii="Times New Roman" w:hAnsi="Times New Roman"/>
          <w:sz w:val="24"/>
        </w:rPr>
        <w:t>Функционально соответствует двум предыдущим артикулам и является наиболее ёмким вариантом семейства благодаря лицензии `Server.Core 25000`.</w:t>
      </w:r>
    </w:p>
    <w:p>
      <w:r>
        <w:rPr>
          <w:rFonts w:ascii="Times New Roman" w:hAnsi="Times New Roman"/>
          <w:b/>
          <w:sz w:val="24"/>
        </w:rPr>
        <w:t>Общий итог по семейству ARM</w:t>
      </w:r>
    </w:p>
    <w:p>
      <w:r>
        <w:rPr>
          <w:rFonts w:ascii="Times New Roman" w:hAnsi="Times New Roman"/>
          <w:sz w:val="24"/>
        </w:rPr>
        <w:t>В 2024–2026 гг. прикладовая ценность всех трёх ARM-артикулов возросла за счёт развития:</w:t>
      </w:r>
    </w:p>
    <w:p>
      <w:pPr>
        <w:pStyle w:val="ListBullet"/>
      </w:pPr>
      <w:r>
        <w:t>серверного ядра Alpha.Server;</w:t>
      </w:r>
    </w:p>
    <w:p>
      <w:pPr>
        <w:pStyle w:val="ListBullet"/>
      </w:pPr>
      <w:r>
        <w:t>HMI- и WebViewer-контура;</w:t>
      </w:r>
    </w:p>
    <w:p>
      <w:pPr>
        <w:pStyle w:val="ListBullet"/>
      </w:pPr>
      <w:r>
        <w:t>тревожного и трендового интерфейсов;</w:t>
      </w:r>
    </w:p>
    <w:p>
      <w:pPr>
        <w:pStyle w:val="ListBullet"/>
      </w:pPr>
      <w:r>
        <w:t>инженерной среды DevStudio;</w:t>
      </w:r>
    </w:p>
    <w:p>
      <w:pPr>
        <w:pStyle w:val="ListBullet"/>
      </w:pPr>
      <w:r>
        <w:t>коммуникационных и диагностических модулей.</w:t>
      </w:r>
    </w:p>
    <w:p>
      <w:r>
        <w:rPr>
          <w:rFonts w:ascii="Times New Roman" w:hAnsi="Times New Roman"/>
          <w:sz w:val="24"/>
        </w:rPr>
        <w:t>---</w:t>
      </w:r>
    </w:p>
    <w:p>
      <w:pPr>
        <w:pStyle w:val="Heading1"/>
      </w:pPr>
      <w:r>
        <w:t>6. Артикулы сервера истории</w:t>
      </w:r>
    </w:p>
    <w:p>
      <w:r>
        <w:rPr>
          <w:rFonts w:ascii="Times New Roman" w:hAnsi="Times New Roman"/>
          <w:sz w:val="24"/>
        </w:rPr>
        <w:t>К данному семейству относятся следующие артикула:</w:t>
      </w:r>
    </w:p>
    <w:p>
      <w:pPr>
        <w:pStyle w:val="ListBullet"/>
      </w:pPr>
      <w:r>
        <w:t>`TN-CPA-PHD500`;</w:t>
      </w:r>
    </w:p>
    <w:p>
      <w:pPr>
        <w:pStyle w:val="ListBullet"/>
      </w:pPr>
      <w:r>
        <w:t>`TN-CPA-PHD1K`.</w:t>
      </w:r>
    </w:p>
    <w:p>
      <w:pPr>
        <w:pStyle w:val="Heading2"/>
      </w:pPr>
      <w:r>
        <w:t>6.1. Общая характеристика семейства</w:t>
      </w:r>
    </w:p>
    <w:p>
      <w:r>
        <w:rPr>
          <w:rFonts w:ascii="Times New Roman" w:hAnsi="Times New Roman"/>
          <w:sz w:val="24"/>
        </w:rPr>
        <w:t>Оба артикула имеют единый функциональный состав и различаются лицензируемой ёмкостью исторического сервера:</w:t>
      </w:r>
    </w:p>
    <w:p>
      <w:pPr>
        <w:pStyle w:val="ListBullet"/>
      </w:pPr>
      <w:r>
        <w:t>`TN-CPA-PHD500` — `Historian 500`;</w:t>
      </w:r>
    </w:p>
    <w:p>
      <w:pPr>
        <w:pStyle w:val="ListBullet"/>
      </w:pPr>
      <w:r>
        <w:t>`TN-CPA-PHD1K` — `Historian 1000`.</w:t>
      </w:r>
    </w:p>
    <w:p>
      <w:r>
        <w:rPr>
          <w:rFonts w:ascii="Times New Roman" w:hAnsi="Times New Roman"/>
          <w:sz w:val="24"/>
        </w:rPr>
        <w:t>Следовательно, различие между ними также носит **масштабный**, а не функциональный характер.</w:t>
      </w:r>
    </w:p>
    <w:p>
      <w:pPr>
        <w:pStyle w:val="Heading2"/>
      </w:pPr>
      <w:r>
        <w:t>6.2. Функциональные компоненты семейства PHD</w:t>
      </w:r>
    </w:p>
    <w:p>
      <w:pPr>
        <w:pStyle w:val="Heading3"/>
      </w:pPr>
      <w:r>
        <w:t>6.2.1. Alpha.Historian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Alpha.Historian обеспечивал:</w:t>
      </w:r>
    </w:p>
    <w:p>
      <w:pPr>
        <w:pStyle w:val="ListBullet"/>
      </w:pPr>
      <w:r>
        <w:t>долговременное хранение исторических значений и событий;</w:t>
      </w:r>
    </w:p>
    <w:p>
      <w:pPr>
        <w:pStyle w:val="ListBullet"/>
      </w:pPr>
      <w:r>
        <w:t>работу с хранилищами исторических данных предыдущих поколений;</w:t>
      </w:r>
    </w:p>
    <w:p>
      <w:pPr>
        <w:pStyle w:val="ListBullet"/>
      </w:pPr>
      <w:r>
        <w:t>приём данных от Alpha.Server;</w:t>
      </w:r>
    </w:p>
    <w:p>
      <w:pPr>
        <w:pStyle w:val="ListBullet"/>
      </w:pPr>
      <w:r>
        <w:t>выдачу исторических выборок внешним потребителям и клиентским приложениям.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Ключевым событием стало появление поколения `Alpha.Historian 4.x`, которое привнесло:</w:t>
      </w:r>
    </w:p>
    <w:p>
      <w:pPr>
        <w:pStyle w:val="ListBullet"/>
      </w:pPr>
      <w:r>
        <w:t>новый формат базы данных `4x`;</w:t>
      </w:r>
    </w:p>
    <w:p>
      <w:pPr>
        <w:pStyle w:val="ListBullet"/>
      </w:pPr>
      <w:r>
        <w:t>возможность записи с произвольной меткой времени;</w:t>
      </w:r>
    </w:p>
    <w:p>
      <w:pPr>
        <w:pStyle w:val="ListBullet"/>
      </w:pPr>
      <w:r>
        <w:t>повышение производительности работы с диском и запуском БД;</w:t>
      </w:r>
    </w:p>
    <w:p>
      <w:pPr>
        <w:pStyle w:val="ListBullet"/>
      </w:pPr>
      <w:r>
        <w:t>снижение накладных расходов по памяти;</w:t>
      </w:r>
    </w:p>
    <w:p>
      <w:pPr>
        <w:pStyle w:val="ListBullet"/>
      </w:pPr>
      <w:r>
        <w:t>обновлённую конфигурационную модель;</w:t>
      </w:r>
    </w:p>
    <w:p>
      <w:pPr>
        <w:pStyle w:val="ListBullet"/>
      </w:pPr>
      <w:r>
        <w:t>средства мониторинга и CLI;</w:t>
      </w:r>
    </w:p>
    <w:p>
      <w:pPr>
        <w:pStyle w:val="ListBullet"/>
      </w:pPr>
      <w:r>
        <w:t>централизованные политики через Alpha.Security.</w:t>
      </w:r>
    </w:p>
    <w:p>
      <w:r>
        <w:rPr>
          <w:rFonts w:ascii="Times New Roman" w:hAnsi="Times New Roman"/>
          <w:sz w:val="24"/>
        </w:rPr>
        <w:t>В последующих релизах были дополнительно усилены:</w:t>
      </w:r>
    </w:p>
    <w:p>
      <w:pPr>
        <w:pStyle w:val="ListBullet"/>
      </w:pPr>
      <w:r>
        <w:t>лицензионная инициализация;</w:t>
      </w:r>
    </w:p>
    <w:p>
      <w:pPr>
        <w:pStyle w:val="ListBullet"/>
      </w:pPr>
      <w:r>
        <w:t>интеграция с контуром безопасности;</w:t>
      </w:r>
    </w:p>
    <w:p>
      <w:pPr>
        <w:pStyle w:val="ListBullet"/>
      </w:pPr>
      <w:r>
        <w:t>контроль корректности временных меток.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Доступны следующие инструкции техподдержки:</w:t>
      </w:r>
    </w:p>
    <w:p>
      <w:pPr>
        <w:pStyle w:val="ListBullet"/>
      </w:pPr>
      <w:r>
        <w:t>**Миграция БД**: "Копирование БД сервера истории с дальнейшим добавлением фрагментов_A.docx"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В результате семейство PHD-артикулов получило качественно более современную платформу историзации, ориентированную на высоконагруженные и более гибкие сценарии хранения данных.</w:t>
      </w:r>
    </w:p>
    <w:p>
      <w:pPr>
        <w:pStyle w:val="Heading3"/>
      </w:pPr>
      <w:r>
        <w:t>6.2.2. Alpha.RMap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Alpha.RMap предназначен для предоставления оперативных и исторических данных в реляционном виде через SQL-интерфейс.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2024 году зафиксировано ускорение выполнения запросов истории по именам сигналов.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SQL доступ поддерживается через общие инструкции по PostgreSQL и ODBC:</w:t>
      </w:r>
    </w:p>
    <w:p>
      <w:pPr>
        <w:pStyle w:val="ListBullet"/>
      </w:pPr>
      <w:r>
        <w:t>**PostgreSQL на RedOS**: "REDOS Установка PostgreSQL11.docx"</w:t>
      </w:r>
    </w:p>
    <w:p>
      <w:pPr>
        <w:pStyle w:val="ListBullet"/>
      </w:pPr>
      <w:r>
        <w:t>**ODBC на Astra**: "Настройка ODBC и PostgreSQL на AstraLinux.docx"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Данное изменение повышает прикладовую ценность PHD-артикулов в сценариях аналитики, отчётности и интеграции с внешними системами, работающими через SQL.</w:t>
      </w:r>
    </w:p>
    <w:p>
      <w:pPr>
        <w:pStyle w:val="Heading3"/>
      </w:pPr>
      <w:r>
        <w:t>6.2.3. Alpha.DevStudio</w:t>
      </w:r>
    </w:p>
    <w:p>
      <w:r>
        <w:rPr>
          <w:rFonts w:ascii="Times New Roman" w:hAnsi="Times New Roman"/>
          <w:b/>
          <w:sz w:val="24"/>
        </w:rPr>
        <w:t>Базовый функционал до 2024 года</w:t>
      </w:r>
    </w:p>
    <w:p>
      <w:r>
        <w:rPr>
          <w:rFonts w:ascii="Times New Roman" w:hAnsi="Times New Roman"/>
          <w:sz w:val="24"/>
        </w:rPr>
        <w:t>Alpha.DevStudio обеспечивал проектирование и развёртывание исторических и серверных конфигураций.</w:t>
      </w:r>
    </w:p>
    <w:p>
      <w:r>
        <w:rPr>
          <w:rFonts w:ascii="Times New Roman" w:hAnsi="Times New Roman"/>
          <w:b/>
          <w:sz w:val="24"/>
        </w:rPr>
        <w:t>Развитие функциональности в 2024–2026 гг.</w:t>
      </w:r>
    </w:p>
    <w:p>
      <w:r>
        <w:rPr>
          <w:rFonts w:ascii="Times New Roman" w:hAnsi="Times New Roman"/>
          <w:sz w:val="24"/>
        </w:rPr>
        <w:t>В 2024 году были улучшены средства публикации, компиляции, CLI-сборки, контроля корректности конфигураций и сопровождения решений с историзацией.</w:t>
      </w:r>
    </w:p>
    <w:p>
      <w:r>
        <w:rPr>
          <w:rFonts w:ascii="Times New Roman" w:hAnsi="Times New Roman"/>
          <w:b/>
          <w:sz w:val="24"/>
        </w:rPr>
        <w:t>Практическое сопровождение</w:t>
      </w:r>
    </w:p>
    <w:p>
      <w:r>
        <w:rPr>
          <w:rFonts w:ascii="Times New Roman" w:hAnsi="Times New Roman"/>
          <w:sz w:val="24"/>
        </w:rPr>
        <w:t>Проектирование и развёртывание поддерживается через общие инструкции по компонентам, включая:</w:t>
      </w:r>
    </w:p>
    <w:p>
      <w:pPr>
        <w:pStyle w:val="ListBullet"/>
      </w:pPr>
      <w:r>
        <w:t>**Обновления**: "Обновление компонентов AlphaPlatform.docx"</w:t>
      </w:r>
    </w:p>
    <w:p>
      <w:r>
        <w:rPr>
          <w:rFonts w:ascii="Times New Roman" w:hAnsi="Times New Roman"/>
          <w:b/>
          <w:sz w:val="24"/>
        </w:rPr>
        <w:t>Практический эффект для артикула</w:t>
      </w:r>
    </w:p>
    <w:p>
      <w:r>
        <w:rPr>
          <w:rFonts w:ascii="Times New Roman" w:hAnsi="Times New Roman"/>
          <w:sz w:val="24"/>
        </w:rPr>
        <w:t>Это повысило удобство подготовки и поддержки серверов истории, а также снизило вероятность ошибок при развёртывании.</w:t>
      </w:r>
    </w:p>
    <w:p>
      <w:pPr>
        <w:pStyle w:val="Heading2"/>
      </w:pPr>
      <w:r>
        <w:t>6.3. Вывод по артикулам семейства PHD</w:t>
      </w:r>
    </w:p>
    <w:p>
      <w:pPr>
        <w:pStyle w:val="Heading3"/>
      </w:pPr>
      <w:r>
        <w:t>TN-CPA-PHD500</w:t>
      </w:r>
    </w:p>
    <w:p>
      <w:r>
        <w:rPr>
          <w:rFonts w:ascii="Times New Roman" w:hAnsi="Times New Roman"/>
          <w:sz w:val="24"/>
        </w:rPr>
        <w:t>Представляет собой сервер истории на базе Alpha.Historian с SQL-доступом через Alpha.RMap и инженерным сопровождением через Alpha.DevStudio. Отличается лицензируемой ёмкостью уровня `Historian 500`.</w:t>
      </w:r>
    </w:p>
    <w:p>
      <w:pPr>
        <w:pStyle w:val="Heading3"/>
      </w:pPr>
      <w:r>
        <w:t>TN-CPA-PHD1K</w:t>
      </w:r>
    </w:p>
    <w:p>
      <w:r>
        <w:rPr>
          <w:rFonts w:ascii="Times New Roman" w:hAnsi="Times New Roman"/>
          <w:sz w:val="24"/>
        </w:rPr>
        <w:t>Функционально соответствует `TN-CPA-PHD500`, но ориентирован на больший объём исторических данных благодаря лицензии `Historian 1000`.</w:t>
      </w:r>
    </w:p>
    <w:p>
      <w:r>
        <w:rPr>
          <w:rFonts w:ascii="Times New Roman" w:hAnsi="Times New Roman"/>
          <w:b/>
          <w:sz w:val="24"/>
        </w:rPr>
        <w:t>Общий итог по семейству PHD</w:t>
      </w:r>
    </w:p>
    <w:p>
      <w:r>
        <w:rPr>
          <w:rFonts w:ascii="Times New Roman" w:hAnsi="Times New Roman"/>
          <w:sz w:val="24"/>
        </w:rPr>
        <w:t>Основной прирост прикладовой ценности в 2024–2026 гг. обеспечен:</w:t>
      </w:r>
    </w:p>
    <w:p>
      <w:pPr>
        <w:pStyle w:val="ListBullet"/>
      </w:pPr>
      <w:r>
        <w:t>переходом Alpha.Historian на поколение `4.x`;</w:t>
      </w:r>
    </w:p>
    <w:p>
      <w:pPr>
        <w:pStyle w:val="ListBullet"/>
      </w:pPr>
      <w:r>
        <w:t>повышением производительности и гибкости хранения исторических данных;</w:t>
      </w:r>
    </w:p>
    <w:p>
      <w:pPr>
        <w:pStyle w:val="ListBullet"/>
      </w:pPr>
      <w:r>
        <w:t>ускорением SQL-доступа через Alpha.RMap;</w:t>
      </w:r>
    </w:p>
    <w:p>
      <w:pPr>
        <w:pStyle w:val="ListBullet"/>
      </w:pPr>
      <w:r>
        <w:t>улучшением инженерного сопровождения и развёртывания через DevStudio.</w:t>
      </w:r>
    </w:p>
    <w:p>
      <w:r>
        <w:rPr>
          <w:rFonts w:ascii="Times New Roman" w:hAnsi="Times New Roman"/>
          <w:sz w:val="24"/>
        </w:rPr>
        <w:t>---</w:t>
      </w:r>
    </w:p>
    <w:p>
      <w:pPr>
        <w:pStyle w:val="Heading1"/>
      </w:pPr>
      <w:r>
        <w:t>7. Общие практические рекомендации по сопровождению</w:t>
      </w:r>
    </w:p>
    <w:p>
      <w:pPr>
        <w:pStyle w:val="Heading2"/>
      </w:pPr>
      <w:r>
        <w:t>7.1. Диагностика и производительность</w:t>
      </w:r>
    </w:p>
    <w:p>
      <w:r>
        <w:rPr>
          <w:rFonts w:ascii="Times New Roman" w:hAnsi="Times New Roman"/>
          <w:sz w:val="24"/>
        </w:rPr>
        <w:t>Для всех артикулов доступны следующие инструкции по диагностике:</w:t>
      </w:r>
    </w:p>
    <w:p>
      <w:pPr>
        <w:pStyle w:val="ListBullet"/>
      </w:pPr>
      <w:r>
        <w:t>**Общая диагностика**: "Инструкция по снятию дампа.docx"</w:t>
      </w:r>
    </w:p>
    <w:p>
      <w:pPr>
        <w:pStyle w:val="ListBullet"/>
      </w:pPr>
      <w:r>
        <w:t>**Утечки памяти Windows**: "Инструкция по снятия дампа утечки памяти(виртуальная).docx"</w:t>
      </w:r>
    </w:p>
    <w:p>
      <w:pPr>
        <w:pStyle w:val="ListBullet"/>
      </w:pPr>
      <w:r>
        <w:t>**Анализ памяти Linux**: "Инструкция по снятию valgrind отчета.docx"</w:t>
      </w:r>
    </w:p>
    <w:p>
      <w:pPr>
        <w:pStyle w:val="ListBullet"/>
      </w:pPr>
      <w:r>
        <w:t>**Astra Linux специфика**: "Инструкция по снятию дампа Astra (При включенной блокировке трассировки ptrace).txt"</w:t>
      </w:r>
    </w:p>
    <w:p>
      <w:pPr>
        <w:pStyle w:val="ListBullet"/>
      </w:pPr>
      <w:r>
        <w:t>**Мониторинг процессов**: "Слежение за процессами с помощью ProcessMonitor.docx"</w:t>
      </w:r>
    </w:p>
    <w:p>
      <w:pPr>
        <w:pStyle w:val="ListBullet"/>
      </w:pPr>
      <w:r>
        <w:t>**Производительность**: "Инструкция по снятия дампа по счетчикам производительности.docx"</w:t>
      </w:r>
    </w:p>
    <w:p>
      <w:pPr>
        <w:pStyle w:val="ListBullet"/>
      </w:pPr>
      <w:r>
        <w:t>**Нагрузочное тестирование**: "Инструкция к проверке характеристик.docx"</w:t>
      </w:r>
    </w:p>
    <w:p>
      <w:pPr>
        <w:pStyle w:val="Heading2"/>
      </w:pPr>
      <w:r>
        <w:t>7.2. Linux окружение</w:t>
      </w:r>
    </w:p>
    <w:p>
      <w:r>
        <w:rPr>
          <w:rFonts w:ascii="Times New Roman" w:hAnsi="Times New Roman"/>
          <w:sz w:val="24"/>
        </w:rPr>
        <w:t>Для развёртывания на Linux системах:</w:t>
      </w:r>
    </w:p>
    <w:p>
      <w:pPr>
        <w:pStyle w:val="ListBullet"/>
      </w:pPr>
      <w:r>
        <w:t>**Переменные среды**: "Установка переменных среды.docx"</w:t>
      </w:r>
    </w:p>
    <w:p>
      <w:pPr>
        <w:pStyle w:val="ListBullet"/>
      </w:pPr>
      <w:r>
        <w:t>**Qt разработка**: "Сборка Qt плагинов на Astra.docx"</w:t>
      </w:r>
    </w:p>
    <w:p>
      <w:pPr>
        <w:pStyle w:val="Heading2"/>
      </w:pPr>
      <w:r>
        <w:t>7.3. Обновления и миграция</w:t>
      </w:r>
    </w:p>
    <w:p>
      <w:r>
        <w:rPr>
          <w:rFonts w:ascii="Times New Roman" w:hAnsi="Times New Roman"/>
          <w:sz w:val="24"/>
        </w:rPr>
        <w:t>Для всех артикулов:</w:t>
      </w:r>
    </w:p>
    <w:p>
      <w:pPr>
        <w:pStyle w:val="ListBullet"/>
      </w:pPr>
      <w:r>
        <w:t>**Процедуры обновления**: "Обновление компонентов AlphaPlatform.docx"</w:t>
      </w:r>
    </w:p>
    <w:p>
      <w:r>
        <w:rPr>
          <w:rFonts w:ascii="Times New Roman" w:hAnsi="Times New Roman"/>
          <w:sz w:val="24"/>
        </w:rPr>
        <w:t>---</w:t>
      </w:r>
    </w:p>
    <w:p>
      <w:pPr>
        <w:pStyle w:val="Heading1"/>
      </w:pPr>
      <w:r>
        <w:t>8. Заключение</w:t>
      </w:r>
    </w:p>
    <w:p>
      <w:r>
        <w:rPr>
          <w:rFonts w:ascii="Times New Roman" w:hAnsi="Times New Roman"/>
          <w:sz w:val="24"/>
        </w:rPr>
        <w:t>По результатам анализа можно сделать следующие выводы:</w:t>
      </w:r>
    </w:p>
    <w:p>
      <w:r>
        <w:rPr>
          <w:rFonts w:ascii="Times New Roman" w:hAnsi="Times New Roman"/>
          <w:sz w:val="24"/>
        </w:rPr>
        <w:t>1. Артикулы семейства `TN-CPA-ARM` функционально близки друг к другу и различаются главным образом лицензируемой ёмкостью серверного ядра.</w:t>
      </w:r>
    </w:p>
    <w:p>
      <w:r>
        <w:rPr>
          <w:rFonts w:ascii="Times New Roman" w:hAnsi="Times New Roman"/>
          <w:sz w:val="24"/>
        </w:rPr>
        <w:t>2. Артикулы семейства `TN-CPA-PHD` функционально близки друг к другу и различаются прежде всего объёмом лицензируемой исторической ёмкости.</w:t>
      </w:r>
    </w:p>
    <w:p>
      <w:r>
        <w:rPr>
          <w:rFonts w:ascii="Times New Roman" w:hAnsi="Times New Roman"/>
          <w:sz w:val="24"/>
        </w:rPr>
        <w:t>3. Наиболее существенное развитие в 2024–2026 гг. затронуло следующие продуктовые направления:</w:t>
      </w:r>
    </w:p>
    <w:p>
      <w:pPr>
        <w:pStyle w:val="ListBullet"/>
      </w:pPr>
      <w:r>
        <w:t>Alpha.Server;</w:t>
      </w:r>
    </w:p>
    <w:p>
      <w:pPr>
        <w:pStyle w:val="ListBullet"/>
      </w:pPr>
      <w:r>
        <w:t>Alpha.HMI и Alpha.HMI.WebViewer;</w:t>
      </w:r>
    </w:p>
    <w:p>
      <w:pPr>
        <w:pStyle w:val="ListBullet"/>
      </w:pPr>
      <w:r>
        <w:t>Alpha.HMI.Alarms;</w:t>
      </w:r>
    </w:p>
    <w:p>
      <w:pPr>
        <w:pStyle w:val="ListBullet"/>
      </w:pPr>
      <w:r>
        <w:t>трендовый и графический контур Alpha.HMI;</w:t>
      </w:r>
    </w:p>
    <w:p>
      <w:pPr>
        <w:pStyle w:val="ListBullet"/>
      </w:pPr>
      <w:r>
        <w:t>Alpha.DevStudio;</w:t>
      </w:r>
    </w:p>
    <w:p>
      <w:pPr>
        <w:pStyle w:val="ListBullet"/>
      </w:pPr>
      <w:r>
        <w:t>Alpha.Historian;</w:t>
      </w:r>
    </w:p>
    <w:p>
      <w:pPr>
        <w:pStyle w:val="ListBullet"/>
      </w:pPr>
      <w:r>
        <w:t>Alpha.RMap;</w:t>
      </w:r>
    </w:p>
    <w:p>
      <w:pPr>
        <w:pStyle w:val="ListBullet"/>
      </w:pPr>
      <w:r>
        <w:t>коммуникационные и диагностические серверные модули.</w:t>
      </w:r>
    </w:p>
    <w:p>
      <w:r>
        <w:rPr>
          <w:rFonts w:ascii="Times New Roman" w:hAnsi="Times New Roman"/>
          <w:sz w:val="24"/>
        </w:rPr>
        <w:t>4. Практическим результатом указанных изменений стало повышение интеграционных возможностей, удобства эксплуатации, гибкости визуализации, качества историзации и инженерной зрелости рассматриваемых решений.</w:t>
      </w:r>
    </w:p>
    <w:p>
      <w:r>
        <w:rPr>
          <w:rFonts w:ascii="Times New Roman" w:hAnsi="Times New Roman"/>
          <w:sz w:val="24"/>
        </w:rPr>
        <w:t>5. **Техническая поддержка обеспечена обширной базой инструкций, покрывающей развёртывание, диагностику, настройку безопасности, веб-интеграцию, резервирование и многие другие аспекты эксплуатации системы.**</w:t>
      </w:r>
    </w:p>
    <w:p>
      <w:pPr>
        <w:pStyle w:val="Heading2"/>
      </w:pPr>
      <w:r>
        <w:t>9. Рекомендация по внешнему использованию</w:t>
      </w:r>
    </w:p>
    <w:p>
      <w:r>
        <w:rPr>
          <w:rFonts w:ascii="Times New Roman" w:hAnsi="Times New Roman"/>
          <w:sz w:val="24"/>
        </w:rPr>
        <w:t>При использовании данного документа во внешних материалах рекомендуется:</w:t>
      </w:r>
    </w:p>
    <w:p>
      <w:pPr>
        <w:pStyle w:val="ListBullet"/>
      </w:pPr>
      <w:r>
        <w:t>сохранять актуальные продуктовые наименования Alpha Platform;</w:t>
      </w:r>
    </w:p>
    <w:p>
      <w:pPr>
        <w:pStyle w:val="ListBullet"/>
      </w:pPr>
      <w:r>
        <w:t>использовать артикулы как коммерческие идентификаторы поставки;</w:t>
      </w:r>
    </w:p>
    <w:p>
      <w:pPr>
        <w:pStyle w:val="ListBullet"/>
      </w:pPr>
      <w:r>
        <w:t>акцентировать внимание не на внутренней структуре лицензий, а на прикладовых преимуществах решения для конечного заказчика;</w:t>
      </w:r>
    </w:p>
    <w:p>
      <w:pPr>
        <w:pStyle w:val="ListBullet"/>
      </w:pPr>
      <w:r>
        <w:t>**ссылаться на доступность комплексной технической поддержки для всех компонентов системы.**</w:t>
      </w:r>
    </w:p>
    <w:p>
      <w:r>
        <w:rPr>
          <w:rFonts w:ascii="Times New Roman" w:hAnsi="Times New Roman"/>
          <w:sz w:val="24"/>
        </w:rPr>
        <w:t>---</w:t>
      </w:r>
    </w:p>
    <w:p>
      <w:pPr>
        <w:pStyle w:val="Heading2"/>
      </w:pPr>
      <w:r>
        <w:t>Приложение. Сводная таблица инструкций техподдержки по компонентам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Times New Roman" w:hAnsi="Times New Roman"/>
                <w:b/>
                <w:sz w:val="24"/>
              </w:rPr>
              <w:t>Инструкции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**Alpha.Server**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Alpha.Security стартовая инструкция, Инструкция по настройке аудита, Инструкция по обновлению сертификатов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Резервирование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настройке развёртывания с резервированием, Резервирование и АР, Гайд по работе и настройке резервирования и развёртывания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Сетевое взаимодействие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настройке Domain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OpenLDAP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настройке OpenLDAP RedOS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Протоколы связи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использованию категории данных модулем ModbusTcpMaster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SnapShot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настройке SnapShot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Авторизация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использованию элемента Учётные данные AP_Credentials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Отладка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Снять дамп через WinDBG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**Alpha.HMI.WebViewer**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Запуск WebViewer в Docker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Настройка Apache и создания самоподписанных сертификатов на Astra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Установка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Alpha.HMI.WebViewer Инструкция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установке NGINX и webviewer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**Alpha.HMI.Alarms**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События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Создание атрибута события с динамическим значением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Аудит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настройке аудита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**Alpha.HMI.Trends**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Создание диалогового окна для работы со свойствами hmi.trends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**Alpha.HMI.Charts**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Конфигурация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Alpha.Charts стартовая инструкция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**Alpha.HMI.Tables**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Конфигурация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Alpha.Tables стартовая инструкция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**Alpha.Historian**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Миграция БД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Копирование БД сервера истории с дальнейшим добавлением фрагментов_A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**PostgreSQL/ODBC**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RedOS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REDOS Установка PostgreSQL11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Astra Linux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Настройка ODBC и PostgreSQL на AstraLinux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**Общее**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Обновления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Обновление компонентов AlphaPlatform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Диагностика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по снятию дампа, Инструкция по снятия дампа утечки памяти, Инструкция по снятию valgrind отчета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Linux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Установка переменных среды, Сборка Qt плагинов на Astra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Производительность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Инструкция к проверке характеристик, Инструкция по снятия дампа по счетчикам производительности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Мониторинг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Слежение за процессами с помощью ProcessMonitor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