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ТРЕБОВАНИЯ</w:t>
        <w:br/>
        <w:t>К ПРОГРАММНОМУ ОБЕСПЕЧЕНИЮ</w:t>
        <w:br/>
        <w:t>SCADA-ПЛАТФОРМЫ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1. Общие требования</w:t>
      </w:r>
    </w:p>
    <w:p>
      <w:pPr>
        <w:pStyle w:val="Heading2"/>
      </w:pPr>
      <w:r>
        <w:rPr>
          <w:rFonts w:ascii="Times New Roman" w:hAnsi="Times New Roman"/>
          <w:color w:val="000000"/>
        </w:rPr>
        <w:t>1.1. Соответствие нормативным требованиям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быть включено в Единый реестр российских программ для электронных вычислительных машин и баз данных (в соответствии с Приказом Минкомсвязи России №486).</w:t>
      </w:r>
    </w:p>
    <w:p>
      <w:pPr>
        <w:pStyle w:val="Heading2"/>
      </w:pPr>
      <w:r>
        <w:rPr>
          <w:rFonts w:ascii="Times New Roman" w:hAnsi="Times New Roman"/>
          <w:color w:val="000000"/>
        </w:rPr>
        <w:t>1.2. Поддержка операционных систем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Серверные и исполняющие компоненты ПО (серверы ввода-вывода, серверы архивирования, подсистемы безопасности, веб-серверы визуализации) должны функционировать нативно под операционными системами семейства Windows (Windows 10/11, Windows Server 2019/2022) и Linux (Astra Linux SE, РЕД ОС, ALT Linux) без использования сторонних слоёв совместимости и эмуляторов (Wine, Mono и пр.).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Должна обеспечиваться функциональная эквивалентность проекта автоматизации при развёртывании на различных поддерживаемых ОС.</w:t>
      </w:r>
    </w:p>
    <w:p>
      <w:pPr>
        <w:pStyle w:val="Heading1"/>
      </w:pPr>
      <w:r>
        <w:rPr>
          <w:rFonts w:ascii="Times New Roman" w:hAnsi="Times New Roman"/>
          <w:color w:val="000000"/>
        </w:rPr>
        <w:t>2. Требования к серверу данных</w:t>
      </w:r>
    </w:p>
    <w:p>
      <w:pPr>
        <w:pStyle w:val="Heading2"/>
      </w:pPr>
      <w:r>
        <w:rPr>
          <w:rFonts w:ascii="Times New Roman" w:hAnsi="Times New Roman"/>
          <w:color w:val="000000"/>
        </w:rPr>
        <w:t>2.1. Производительность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Сервер ввода-вывода должен обеспечивать обработку не менее 1 000 000 (одного миллиона) тегов на один экземпляр сервера.</w:t>
      </w:r>
    </w:p>
    <w:p>
      <w:pPr>
        <w:pStyle w:val="Heading2"/>
      </w:pPr>
      <w:r>
        <w:rPr>
          <w:rFonts w:ascii="Times New Roman" w:hAnsi="Times New Roman"/>
          <w:color w:val="000000"/>
        </w:rPr>
        <w:t>2.2. Масштабируемость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поддерживать работу не менее 4 (четырёх) серверных узлов в рамках одного проекта автоматизации с возможностью построения территориально распределённых систем.</w:t>
      </w:r>
    </w:p>
    <w:p>
      <w:pPr>
        <w:pStyle w:val="Heading2"/>
      </w:pPr>
      <w:r>
        <w:rPr>
          <w:rFonts w:ascii="Times New Roman" w:hAnsi="Times New Roman"/>
          <w:color w:val="000000"/>
        </w:rPr>
        <w:t>2.3. Оперативная база данных реального времени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включать собственную высокопроизводительную базу данных реального времени (БДРВ) для хранения и обработки оперативных значений технологических параметров.</w:t>
      </w:r>
    </w:p>
    <w:p>
      <w:pPr>
        <w:pStyle w:val="Heading2"/>
      </w:pPr>
      <w:r>
        <w:rPr>
          <w:rFonts w:ascii="Times New Roman" w:hAnsi="Times New Roman"/>
          <w:color w:val="000000"/>
        </w:rPr>
        <w:t>2.4. Резервирование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обеспечивать горячее резервирование серверных компонентов с автоматическим переключением на резервный сервер и репликацией данных между основным и резервным серверами.</w:t>
      </w:r>
    </w:p>
    <w:p>
      <w:pPr>
        <w:pStyle w:val="Heading1"/>
      </w:pPr>
      <w:r>
        <w:rPr>
          <w:rFonts w:ascii="Times New Roman" w:hAnsi="Times New Roman"/>
          <w:color w:val="000000"/>
        </w:rPr>
        <w:t>3. Требования к коммуникационным возможностям</w:t>
      </w:r>
    </w:p>
    <w:p>
      <w:pPr>
        <w:pStyle w:val="Heading2"/>
      </w:pPr>
      <w:r>
        <w:rPr>
          <w:rFonts w:ascii="Times New Roman" w:hAnsi="Times New Roman"/>
          <w:color w:val="000000"/>
        </w:rPr>
        <w:t>3.1. Встроенные протоколы сбора данных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Сервер данных должен обеспечивать сбор и передачу данных по следующим протоколам и спецификациям встроенными средствами платформы: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Протокол / спецификация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Режим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ГОСТ Р МЭК 60870-5-104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Master и Slave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ГОСТ Р МЭК 60870-5-101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Master и Slave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ГОСТ Р МЭК 61850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Client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Modbus TCP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Master и Slave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Modbus RTU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Master и Slave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OPC DA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Client и Server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OPC UA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Client и Server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OPC HDA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Client и Server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OPC AE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Server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BACnet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Client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MQTT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Client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SNMP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Manager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3.2. Двусторонний обмен данными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обеспечивать как приём (Master/Client), так и передачу (Slave/Server) данных по протоколам ГОСТ Р МЭК 60870-5-104, ГОСТ Р МЭК 60870-5-101 встроенными средствами платформы.</w:t>
      </w:r>
    </w:p>
    <w:p>
      <w:pPr>
        <w:pStyle w:val="Heading2"/>
      </w:pPr>
      <w:r>
        <w:rPr>
          <w:rFonts w:ascii="Times New Roman" w:hAnsi="Times New Roman"/>
          <w:color w:val="000000"/>
        </w:rPr>
        <w:t>3.3. Внутренний протокол с буферизацией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обеспечивать буферизацию данных при передаче от сервера данных к серверу архивирования. При разрыве связи между серверными компонентами данные должны сохраняться в локальном буфере и автоматически передаваться при восстановлении соединения, исключая потерю технологической информации.</w:t>
      </w:r>
    </w:p>
    <w:p>
      <w:pPr>
        <w:pStyle w:val="Heading2"/>
      </w:pPr>
      <w:r>
        <w:rPr>
          <w:rFonts w:ascii="Times New Roman" w:hAnsi="Times New Roman"/>
          <w:color w:val="000000"/>
        </w:rPr>
        <w:t>3.4. Поддержка демилитаризованных зон (ДМЗ)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обеспечивать возможность создания демилитаризованных зон (ДМЗ) на уровне архитектуры проекта, в том числе за счёт размещения промежуточных экземпляров серверов, выполняющих функцию конверторов протоколов и шлюзов данных между изолированными сетевыми сегментами. Должна поддерживаться инверсия инициации соединения для прохождения через межсетевые экраны.</w:t>
      </w:r>
    </w:p>
    <w:p>
      <w:pPr>
        <w:pStyle w:val="Heading1"/>
      </w:pPr>
      <w:r>
        <w:rPr>
          <w:rFonts w:ascii="Times New Roman" w:hAnsi="Times New Roman"/>
          <w:color w:val="000000"/>
        </w:rPr>
        <w:t>4. Требования к архивированию данных</w:t>
      </w:r>
    </w:p>
    <w:p>
      <w:pPr>
        <w:pStyle w:val="Heading2"/>
      </w:pPr>
      <w:r>
        <w:rPr>
          <w:rFonts w:ascii="Times New Roman" w:hAnsi="Times New Roman"/>
          <w:color w:val="000000"/>
        </w:rPr>
        <w:t>4.1. Встроенная система архивирования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включать собственный компонент сервера архивирования для сбора и долгосрочного хранения технологических данных без обязательного использования сторонних систем управления базами данных (MS SQL Server, PostgreSQL и пр.).</w:t>
      </w:r>
    </w:p>
    <w:p>
      <w:pPr>
        <w:pStyle w:val="Heading1"/>
      </w:pPr>
      <w:r>
        <w:rPr>
          <w:rFonts w:ascii="Times New Roman" w:hAnsi="Times New Roman"/>
          <w:color w:val="000000"/>
        </w:rPr>
        <w:t>5. Требования к визуализации и клиентской части</w:t>
      </w:r>
    </w:p>
    <w:p>
      <w:pPr>
        <w:pStyle w:val="Heading2"/>
      </w:pPr>
      <w:r>
        <w:rPr>
          <w:rFonts w:ascii="Times New Roman" w:hAnsi="Times New Roman"/>
          <w:color w:val="000000"/>
        </w:rPr>
        <w:t>5.1. Веб-клиент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обеспечивать работу веб-клиентов через стандартный веб-браузер без установки дополнительных плагинов, ActiveX-компонентов или иных специализированных клиентских надстроек.</w:t>
      </w:r>
    </w:p>
    <w:p>
      <w:pPr>
        <w:pStyle w:val="Heading1"/>
      </w:pPr>
      <w:r>
        <w:rPr>
          <w:rFonts w:ascii="Times New Roman" w:hAnsi="Times New Roman"/>
          <w:color w:val="000000"/>
        </w:rPr>
        <w:t>6. Требования к эксплуатации и обслуживанию</w:t>
      </w:r>
    </w:p>
    <w:p>
      <w:pPr>
        <w:pStyle w:val="Heading2"/>
      </w:pPr>
      <w:r>
        <w:rPr>
          <w:rFonts w:ascii="Times New Roman" w:hAnsi="Times New Roman"/>
          <w:color w:val="000000"/>
        </w:rPr>
        <w:t>6.1. Версионность конфигураций и поэтапное обновление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поддерживать версионность конфигураций с возможностью отката к предыдущей стабильной версии. При наличии горячего резервирования должна обеспечиваться возможность поэтапного обновления конфигурации без полной остановки системы.</w:t>
      </w:r>
    </w:p>
    <w:p>
      <w:pPr>
        <w:pStyle w:val="Heading2"/>
      </w:pPr>
      <w:r>
        <w:rPr>
          <w:rFonts w:ascii="Times New Roman" w:hAnsi="Times New Roman"/>
          <w:color w:val="000000"/>
        </w:rPr>
        <w:t>6.2. Непрерывность работы при отсутствии лицензионного ключа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ПО должно обеспечивать сохранение полнофункционального режима работы системы в случае выхода из строя или временного отсутствия аппаратного/программного лицензионного ключа защиты. Данное требование обусловлено необходимостью обеспечения непрерывности технологического процесса.</w:t>
      </w:r>
    </w:p>
    <w:p>
      <w:pPr>
        <w:pStyle w:val="Heading1"/>
      </w:pPr>
      <w:r>
        <w:rPr>
          <w:rFonts w:ascii="Times New Roman" w:hAnsi="Times New Roman"/>
          <w:color w:val="000000"/>
        </w:rPr>
        <w:t>7. Обоснование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 п.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1.1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Реестр отечественного ПО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ФЗ-188, требования к КИИ, импортозамещение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1.2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Нативная работа серверных и исполняющих компонентов под российскими ОС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Требования ФСТЭК, сертификация Astra Linux SE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2.1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До 1 000 000 тегов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Масштаб крупных промышленных объектов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≥4 серверных узлов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Распределённые системы диспетчеризации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2.3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Собственная БДРВ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Производительность, независимость от сторонних СУБД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2.4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Горячее резервирование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Непрерывность управления технологическим процессом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Встроенные протоколы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Энергетика, здания, IoT, телемеханика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3.2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Двусторонний обмен по МЭК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Интеграция как источник и приёмник данных телемеханики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3.3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Буферизация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Надёжность при нестабильных каналах связи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3.4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Поддержка ДМЗ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Безопасность КИИ, сегментация сетей, требования ФСТЭК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4.1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Собственный сервер архивирования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Независимость, производительность, снижение TCO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5.1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Веб-клиент без плагинов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Совместимость, безопасность, удалённый доступ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6.1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Версионность и поэтапное обновление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Минимизация простоев, откат при ошибках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6.2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Работа без ключа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Непрерывность технологического процесса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