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713a589275acc4f23746e66a6fea040cede04b5"/>
    <w:p>
      <w:pPr>
        <w:pStyle w:val="Heading1"/>
      </w:pPr>
      <w:r>
        <w:t xml:space="preserve">Лицензирование Alpha.Historian: как мы считаем стоимость и почему вы, скорее всего, заложите неправильно</w:t>
      </w:r>
    </w:p>
    <w:p>
      <w:pPr>
        <w:pStyle w:val="FirstParagraph"/>
      </w:pPr>
      <w:r>
        <w:rPr>
          <w:bCs/>
          <w:b/>
        </w:rPr>
        <w:t xml:space="preserve">Тег:</w:t>
      </w:r>
      <w:r>
        <w:t xml:space="preserve"> </w:t>
      </w:r>
      <w:r>
        <w:t xml:space="preserve">Лицензирование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01 апреля 2026 ·</w:t>
      </w:r>
      <w:r>
        <w:t xml:space="preserve"> </w:t>
      </w:r>
      <w:r>
        <w:rPr>
          <w:bCs/>
          <w:b/>
        </w:rPr>
        <w:t xml:space="preserve">Чтение:</w:t>
      </w:r>
      <w:r>
        <w:t xml:space="preserve"> </w:t>
      </w:r>
      <w:r>
        <w:t xml:space="preserve">14 мин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Автоматчик СпецТех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каждом втором проекте мы слышим один и тот же вопрос: «Сколько стоит лицензия Alpha.Historian на 5 000 тегов?» Звучит просто — открой прайс, найди строку, выпиши цифру. Но когда мы начинаем копать, выясняется, что заказчик забыл про резервирование, неправильно посчитал теги или вообще не заложил поддержку в бюджет. А потом начинается: «А почему у нас в ТКП на 40% больше, чем мы планировали?»</w:t>
      </w:r>
    </w:p>
    <w:p>
      <w:pPr>
        <w:pStyle w:val="BodyText"/>
      </w:pPr>
      <w:r>
        <w:t xml:space="preserve">Мы прошли через десятки таких расчётов и собрали всё, что знаем, в одну статью. Без маркетинговых обтекаемостей — конкретные цифры, реальные грабли и чек-лист, который можно распечатать и повесить над рабочим столом проектировщика.</w:t>
      </w:r>
    </w:p>
    <w:p>
      <w:r>
        <w:pict>
          <v:rect style="width:0;height:1.5pt" o:hralign="center" o:hrstd="t" o:hr="t"/>
        </w:pict>
      </w:r>
    </w:p>
    <w:bookmarkStart w:id="20" w:name="как-устроена-модель-лицензирования"/>
    <w:p>
      <w:pPr>
        <w:pStyle w:val="Heading2"/>
      </w:pPr>
      <w:r>
        <w:t xml:space="preserve">Как устроена модель лицензирования</w:t>
      </w:r>
    </w:p>
    <w:p>
      <w:pPr>
        <w:pStyle w:val="FirstParagraph"/>
      </w:pPr>
      <w:r>
        <w:t xml:space="preserve">Начнём с основ. Alpha.Historian — это компонент для долговременного хранения процессных данных. Он работает в связке с Alpha.Server: получает от него данные через модуль истории, а клиенты забирают архив через Alpha.Server/AccessPoint. Без Alpha.Server Historian бесполезен — это не самостоятельный продукт.</w:t>
      </w:r>
    </w:p>
    <w:p>
      <w:pPr>
        <w:pStyle w:val="BodyText"/>
      </w:pPr>
      <w:r>
        <w:rPr>
          <w:bCs/>
          <w:b/>
        </w:rPr>
        <w:t xml:space="preserve">Лицензируется Historian по количеству сохраняемых исторических тегов.</w:t>
      </w:r>
      <w:r>
        <w:t xml:space="preserve"> </w:t>
      </w:r>
      <w:r>
        <w:t xml:space="preserve">Лицензия покупается отдельно от базовых комплектов (Alpha.One+, Alpha.SCADA, Alpha.Platform).</w:t>
      </w:r>
    </w:p>
    <w:p>
      <w:pPr>
        <w:pStyle w:val="BodyText"/>
      </w:pPr>
      <w:r>
        <w:t xml:space="preserve">Звучит понятно. Но дьявол — в деталях.</w:t>
      </w:r>
    </w:p>
    <w:p>
      <w:r>
        <w:pict>
          <v:rect style="width:0;height:1.5pt" o:hralign="center" o:hrstd="t" o:hr="t"/>
        </w:pict>
      </w:r>
    </w:p>
    <w:bookmarkEnd w:id="20"/>
    <w:bookmarkStart w:id="21" w:name="что-считается-тегом-и-что-нет"/>
    <w:p>
      <w:pPr>
        <w:pStyle w:val="Heading2"/>
      </w:pPr>
      <w:r>
        <w:t xml:space="preserve">Что считается тегом (и что — нет)</w:t>
      </w:r>
    </w:p>
    <w:p>
      <w:pPr>
        <w:pStyle w:val="FirstParagraph"/>
      </w:pPr>
      <w:r>
        <w:t xml:space="preserve">Вот здесь у многих начинаются проблемы. На нашем опыте, каждый второй проектировщик считает теги неправильно — либо завышает, либо (чаще) занижает.</w:t>
      </w:r>
    </w:p>
    <w:p>
      <w:pPr>
        <w:pStyle w:val="BodyText"/>
      </w:pPr>
      <w:r>
        <w:t xml:space="preserve">Официальная политика Атомик Софт такая: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Лицензируются только теги, связанные с внешним оборудованием или ПО.</w:t>
      </w:r>
      <w:r>
        <w:t xml:space="preserve"> </w:t>
      </w:r>
      <w:r>
        <w:t xml:space="preserve">Это переменные в ПЛК, данные от умных датчиков и исполнительных механизмов, теги из внешних SCADA/DCS по промышленным протоколам.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Внутренние теги, не связанные с внешними данными, не учитываются</w:t>
      </w:r>
      <w:r>
        <w:t xml:space="preserve"> </w:t>
      </w:r>
      <w:r>
        <w:t xml:space="preserve">в лицензии.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События сохраняются бесплатно</w:t>
      </w:r>
      <w:r>
        <w:t xml:space="preserve"> </w:t>
      </w:r>
      <w:r>
        <w:t xml:space="preserve">— они не увеличивают количество лицензируемых тегов.</w:t>
      </w:r>
    </w:p>
    <w:p>
      <w:pPr>
        <w:pStyle w:val="FirstParagraph"/>
      </w:pPr>
      <w:r>
        <w:t xml:space="preserve">Последний пункт часто удивляет. Мы сталкивались с ситуациями, когда заказчик включал в расчёт все события как теги и получал раздутую оценку. А потом, наоборот, радовался — бюджет оказывался меньше, чем он планировал.</w:t>
      </w:r>
    </w:p>
    <w:p>
      <w:pPr>
        <w:pStyle w:val="BlockText"/>
      </w:pPr>
      <w:r>
        <w:rPr>
          <w:bCs/>
          <w:b/>
        </w:rPr>
        <w:t xml:space="preserve">Правило большого пальца:</w:t>
      </w:r>
      <w:r>
        <w:t xml:space="preserve"> </w:t>
      </w:r>
      <w:r>
        <w:t xml:space="preserve">считайте только то, что приходит извне. Внутренняя логика и события — бесплатно.</w:t>
      </w:r>
    </w:p>
    <w:p>
      <w:r>
        <w:pict>
          <v:rect style="width:0;height:1.5pt" o:hralign="center" o:hrstd="t" o:hr="t"/>
        </w:pict>
      </w:r>
    </w:p>
    <w:bookmarkEnd w:id="21"/>
    <w:bookmarkStart w:id="24" w:name="градации-от-hist-s100-до-hist-s2m"/>
    <w:p>
      <w:pPr>
        <w:pStyle w:val="Heading2"/>
      </w:pPr>
      <w:r>
        <w:t xml:space="preserve">Градации: от HIST-S100 до HIST-S2M</w:t>
      </w:r>
    </w:p>
    <w:p>
      <w:pPr>
        <w:pStyle w:val="FirstParagraph"/>
      </w:pPr>
      <w:r>
        <w:t xml:space="preserve">Alpha.Historian предлагает 21 градацию лицензий — от 100 до 2 000 000 тегов. Полный ряд:</w:t>
      </w:r>
    </w:p>
    <w:p>
      <w:pPr>
        <w:pStyle w:val="BodyText"/>
      </w:pPr>
      <w:r>
        <w:rPr>
          <w:bCs/>
          <w:b/>
        </w:rPr>
        <w:t xml:space="preserve">HIST-S100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HIST-S200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HIST-S300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HIST-S500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HIST-S700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HIST-S1k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HIST-S2k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HIST-S3k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HIST-S5k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HIST-S7k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HIST-S10k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HIST-S15k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HIST-S20k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HIST-S30k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HIST-S50k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HIST-S100k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HIST-S200k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HIST-S300k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HIST-S500k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HIST-S1M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HIST-S2M</w:t>
      </w:r>
    </w:p>
    <w:p>
      <w:pPr>
        <w:pStyle w:val="BodyText"/>
      </w:pPr>
      <w:r>
        <w:t xml:space="preserve">Принцип простой: вы считаете свои теги и выбираете ближайшую верхнюю ступень. Если у вас 4 800 тегов — берёте HIST-S5k. Если 5 200 — уже HIST-S7k.</w:t>
      </w:r>
    </w:p>
    <w:p>
      <w:pPr>
        <w:pStyle w:val="BodyText"/>
      </w:pPr>
      <w:r>
        <w:t xml:space="preserve">Актуальные цены можно посмотреть в</w:t>
      </w:r>
      <w:r>
        <w:t xml:space="preserve"> </w:t>
      </w:r>
      <w:hyperlink r:id="rId22">
        <w:r>
          <w:rPr>
            <w:rStyle w:val="Hyperlink"/>
          </w:rPr>
          <w:t xml:space="preserve">нашем калькуляторе</w:t>
        </w:r>
      </w:hyperlink>
      <w:r>
        <w:t xml:space="preserve"> </w:t>
      </w:r>
      <w:r>
        <w:t xml:space="preserve">или запросить расчёт напрямую.</w:t>
      </w:r>
    </w:p>
    <w:bookmarkStart w:id="23" w:name="почему-важно-не-жадничать-с-градацией"/>
    <w:p>
      <w:pPr>
        <w:pStyle w:val="Heading3"/>
      </w:pPr>
      <w:r>
        <w:t xml:space="preserve">Почему важно не жадничать с градацией</w:t>
      </w:r>
    </w:p>
    <w:p>
      <w:pPr>
        <w:pStyle w:val="FirstParagraph"/>
      </w:pPr>
      <w:r>
        <w:t xml:space="preserve">На одном из проектов мы столкнулись с классической ситуацией: заказчик насчитал 4 900 тегов, взял HIST-S5k и радовался. Через полгода добавили новый цех — и оказалось, что нужно 5 300 тегов. Пришлось менять лицензию на HIST-S7k, а это — дополнительные расходы и бюрократия.</w:t>
      </w:r>
    </w:p>
    <w:p>
      <w:pPr>
        <w:pStyle w:val="BodyText"/>
      </w:pPr>
      <w:r>
        <w:rPr>
          <w:bCs/>
          <w:b/>
        </w:rPr>
        <w:t xml:space="preserve">Наша рекомендация:</w:t>
      </w:r>
      <w:r>
        <w:t xml:space="preserve"> </w:t>
      </w:r>
      <w:r>
        <w:t xml:space="preserve">если расчёт близок к границе ступени, берите следующую. Разница в цене обычно не такая большая, а нервы и время сэкономите точно.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a039eb57f5630a1a49002763c92bcc14a4a22f0"/>
    <w:p>
      <w:pPr>
        <w:pStyle w:val="Heading2"/>
      </w:pPr>
      <w:r>
        <w:t xml:space="preserve">Как правильно оценить теги на этапе проекта</w:t>
      </w:r>
    </w:p>
    <w:p>
      <w:pPr>
        <w:pStyle w:val="FirstParagraph"/>
      </w:pPr>
      <w:r>
        <w:t xml:space="preserve">Вот пошаговый подход, который мы используем на своих проектах: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Соберите перечень архивируемых сигналов.</w:t>
      </w:r>
      <w:r>
        <w:t xml:space="preserve"> </w:t>
      </w:r>
      <w:r>
        <w:t xml:space="preserve">Пройдитесь по всем контроллерам, датчикам и внешним системам. Запишите каждый тег, который должен попасть в долговременный архив.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Отделите события от тегов.</w:t>
      </w:r>
      <w:r>
        <w:t xml:space="preserve"> </w:t>
      </w:r>
      <w:r>
        <w:t xml:space="preserve">События не лицензируются — но их нужно учитывать при планировании дискового пространства и производительности. Не путайте одно с другим.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Добавьте запас на развитие.</w:t>
      </w:r>
      <w:r>
        <w:t xml:space="preserve"> </w:t>
      </w:r>
      <w:r>
        <w:t xml:space="preserve">Мы обычно закладываем 20–30% сверху. Системы растут, новые линии добавляются, а менять лицензию посреди года — удовольствие ниже среднего.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Проверьте расчёт по документации или у поставщика.</w:t>
      </w:r>
      <w:r>
        <w:t xml:space="preserve"> </w:t>
      </w:r>
      <w:r>
        <w:t xml:space="preserve">Точные правила подсчёта зависят от версии и конфигурации. Если проект критичен по бюджету — лучше перепроверить.</w:t>
      </w:r>
    </w:p>
    <w:p>
      <w:pPr>
        <w:pStyle w:val="BlockText"/>
      </w:pPr>
      <w:r>
        <w:t xml:space="preserve">На одном из проектов заказчик насчитал 3 000 тегов. Мы пересмотрели спецификацию — оказалось 4 200, потому что он не учёл теги от частотных приводов. Экономия на аудите тегов — копейки. Пересмотр лицензии через год — совсем другие деньги.</w:t>
      </w:r>
    </w:p>
    <w:p>
      <w:r>
        <w:pict>
          <v:rect style="width:0;height:1.5pt" o:hralign="center" o:hrstd="t" o:hr="t"/>
        </w:pict>
      </w:r>
    </w:p>
    <w:bookmarkEnd w:id="25"/>
    <w:bookmarkStart w:id="29" w:name="скрытые-расходы-о-которых-забывают"/>
    <w:p>
      <w:pPr>
        <w:pStyle w:val="Heading2"/>
      </w:pPr>
      <w:r>
        <w:t xml:space="preserve">Скрытые расходы, о которых забывают</w:t>
      </w:r>
    </w:p>
    <w:p>
      <w:pPr>
        <w:pStyle w:val="FirstParagraph"/>
      </w:pPr>
      <w:r>
        <w:t xml:space="preserve">Стоимость лицензии Historian — это верхушка айсберга. Вот что ещё нужно заложить в бюджет.</w:t>
      </w:r>
    </w:p>
    <w:bookmarkStart w:id="26" w:name="резервирование-2-к-стоимости"/>
    <w:p>
      <w:pPr>
        <w:pStyle w:val="Heading3"/>
      </w:pPr>
      <w:r>
        <w:t xml:space="preserve">Резервирование: ×2 к стоимости</w:t>
      </w:r>
    </w:p>
    <w:p>
      <w:pPr>
        <w:pStyle w:val="FirstParagraph"/>
      </w:pPr>
      <w:r>
        <w:t xml:space="preserve">Для критически важных систем (а в промышленности почти все системы критические) нужен резервный сервер. И вот неприятный момент:</w:t>
      </w:r>
      <w:r>
        <w:t xml:space="preserve"> </w:t>
      </w:r>
      <w:r>
        <w:rPr>
          <w:bCs/>
          <w:b/>
        </w:rPr>
        <w:t xml:space="preserve">резервный Historian лицензируется отдельно.</w:t>
      </w:r>
      <w:r>
        <w:t xml:space="preserve"> </w:t>
      </w:r>
      <w:r>
        <w:t xml:space="preserve">Это удваивает стоимость лицензий.</w:t>
      </w:r>
    </w:p>
    <w:p>
      <w:pPr>
        <w:pStyle w:val="SourceCode"/>
      </w:pPr>
      <w:r>
        <w:rPr>
          <w:rStyle w:val="VerbatimChar"/>
        </w:rPr>
        <w:t xml:space="preserve"># Пример: система 5 000 тегов с резервом</w:t>
      </w:r>
      <w:r>
        <w:br/>
      </w:r>
      <w:r>
        <w:rPr>
          <w:rStyle w:val="VerbatimChar"/>
        </w:rPr>
        <w:t xml:space="preserve">Основной Historian:    HIST-S5k = 865 400 ₽</w:t>
      </w:r>
      <w:r>
        <w:br/>
      </w:r>
      <w:r>
        <w:rPr>
          <w:rStyle w:val="VerbatimChar"/>
        </w:rPr>
        <w:t xml:space="preserve">Резервный Historian:   HIST-S5k = 865 400 ₽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Итого лицензии:                = 1 730 800 ₽</w:t>
      </w:r>
    </w:p>
    <w:p>
      <w:pPr>
        <w:pStyle w:val="FirstParagraph"/>
      </w:pPr>
      <w:r>
        <w:t xml:space="preserve">Полтора миллиона разницы — не та сумма, которую хочется «обнаружить» на этапе закупки. Мы видели проекты, где бюджет утверждали без резерва, а потом главный инженер говорил: «Как это — без резерва? У нас непрерывное производство!» И начинались мучительные согласования дополнительного финансирования.</w:t>
      </w:r>
    </w:p>
    <w:bookmarkEnd w:id="26"/>
    <w:bookmarkStart w:id="27" w:name="sla-и-годовая-поддержка"/>
    <w:p>
      <w:pPr>
        <w:pStyle w:val="Heading3"/>
      </w:pPr>
      <w:r>
        <w:t xml:space="preserve">SLA и годовая поддержка</w:t>
      </w:r>
    </w:p>
    <w:p>
      <w:pPr>
        <w:pStyle w:val="FirstParagraph"/>
      </w:pPr>
      <w:r>
        <w:t xml:space="preserve">Техническая поддержка — отдельная строка бюджета. Три уровня: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3168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получаете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от стоимости лицензий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Консультации, исправления ошибок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от стоимости лицензий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обновления, приоритетная обработка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SLA-PRM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от стоимости лицензий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выезды на объект, персональный инженер</w:t>
            </w:r>
          </w:p>
        </w:tc>
      </w:tr>
    </w:tbl>
    <w:p>
      <w:pPr>
        <w:pStyle w:val="BodyText"/>
      </w:pPr>
      <w:r>
        <w:t xml:space="preserve">Для нашего примера с 5 000 тегов и резервом (лицензии на 1 730 800 ₽):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STD:</w:t>
      </w:r>
      <w:r>
        <w:t xml:space="preserve"> </w:t>
      </w:r>
      <w:r>
        <w:t xml:space="preserve">~173 000 ₽/год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OPT:</w:t>
      </w:r>
      <w:r>
        <w:t xml:space="preserve"> </w:t>
      </w:r>
      <w:r>
        <w:t xml:space="preserve">~260 000 ₽/год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PRM:</w:t>
      </w:r>
      <w:r>
        <w:t xml:space="preserve"> </w:t>
      </w:r>
      <w:r>
        <w:t xml:space="preserve">~433 000 ₽/год</w:t>
      </w:r>
    </w:p>
    <w:p>
      <w:pPr>
        <w:pStyle w:val="FirstParagraph"/>
      </w:pPr>
      <w:r>
        <w:t xml:space="preserve">Мы обычно рекомендуем OPT — он включает обновления, а в промышленных системах актуальные патчи безопасности и исправления — не роскошь, а необходимость.</w:t>
      </w:r>
    </w:p>
    <w:bookmarkEnd w:id="27"/>
    <w:bookmarkStart w:id="28" w:name="дополнительные-компоненты"/>
    <w:p>
      <w:pPr>
        <w:pStyle w:val="Heading3"/>
      </w:pPr>
      <w:r>
        <w:t xml:space="preserve">Дополнительные компоненты</w:t>
      </w:r>
    </w:p>
    <w:p>
      <w:pPr>
        <w:pStyle w:val="FirstParagraph"/>
      </w:pPr>
      <w:r>
        <w:t xml:space="preserve">Historian редко работает в одиночку. На реальном проекте к нему обычно добавляются другие модули платформы — отчёты, визуализация, web-доступ, интеграция с MES. Их стоимость считается отдельно по составу проекта.</w:t>
      </w:r>
    </w:p>
    <w:p>
      <w:pPr>
        <w:pStyle w:val="BodyText"/>
      </w:pPr>
      <w:r>
        <w:t xml:space="preserve">Не забывайте про это при формировании бюджета. Мы не раз видели, как заказчик считал только Historian, а потом выяснялось, что ему нужен ещё пул клиентских подключений или web-публикация данных.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пример-полного-расчёта"/>
    <w:p>
      <w:pPr>
        <w:pStyle w:val="Heading2"/>
      </w:pPr>
      <w:r>
        <w:t xml:space="preserve">Пример полного расчёта</w:t>
      </w:r>
    </w:p>
    <w:p>
      <w:pPr>
        <w:pStyle w:val="FirstParagraph"/>
      </w:pPr>
      <w:r>
        <w:t xml:space="preserve">Давайте соберём всё вместе для типовой системы. Это не универсальный шаблон — каждый проект уникален — но логика расчёта одинаковая.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система на 5 000 тегов, непрерывное производство, нужен резерв.</w:t>
      </w:r>
    </w:p>
    <w:p>
      <w:pPr>
        <w:pStyle w:val="SourceCode"/>
      </w:pPr>
      <w:r>
        <w:rPr>
          <w:rStyle w:val="VerbatimChar"/>
        </w:rPr>
        <w:t xml:space="preserve">ЛИЦЕНЗИИ HISTORIAN:</w:t>
      </w:r>
      <w:r>
        <w:br/>
      </w:r>
      <w:r>
        <w:rPr>
          <w:rStyle w:val="VerbatimChar"/>
        </w:rPr>
        <w:t xml:space="preserve">├── Основной:    HIST-S5k = 865 400 ₽</w:t>
      </w:r>
      <w:r>
        <w:br/>
      </w:r>
      <w:r>
        <w:rPr>
          <w:rStyle w:val="VerbatimChar"/>
        </w:rPr>
        <w:t xml:space="preserve">├── Резервный:   HIST-S5k = 865 400 ₽</w:t>
      </w:r>
      <w:r>
        <w:br/>
      </w:r>
      <w:r>
        <w:rPr>
          <w:rStyle w:val="VerbatimChar"/>
        </w:rPr>
        <w:t xml:space="preserve">└── Итого:               = 1 730 800 ₽</w:t>
      </w:r>
      <w:r>
        <w:br/>
      </w:r>
      <w:r>
        <w:br/>
      </w:r>
      <w:r>
        <w:rPr>
          <w:rStyle w:val="VerbatimChar"/>
        </w:rPr>
        <w:t xml:space="preserve">ЕЖЕГОДНАЯ ПОДДЕРЖКА (SLA-STD):</w:t>
      </w:r>
      <w:r>
        <w:br/>
      </w:r>
      <w:r>
        <w:rPr>
          <w:rStyle w:val="VerbatimChar"/>
        </w:rPr>
        <w:t xml:space="preserve">└── 10% от лицензий      ≈ 173 080 ₽/год</w:t>
      </w:r>
      <w:r>
        <w:br/>
      </w:r>
      <w:r>
        <w:br/>
      </w:r>
      <w:r>
        <w:rPr>
          <w:rStyle w:val="VerbatimChar"/>
        </w:rPr>
        <w:t xml:space="preserve">ИТОГО ПЕРВЫЙ ГОД:        ≈ 1 903 880 ₽</w:t>
      </w:r>
    </w:p>
    <w:p>
      <w:pPr>
        <w:pStyle w:val="FirstParagraph"/>
      </w:pPr>
      <w:r>
        <w:t xml:space="preserve">Обратите внимание: это</w:t>
      </w:r>
      <w:r>
        <w:t xml:space="preserve"> </w:t>
      </w:r>
      <w:r>
        <w:rPr>
          <w:bCs/>
          <w:b/>
        </w:rPr>
        <w:t xml:space="preserve">только Historian</w:t>
      </w:r>
      <w:r>
        <w:t xml:space="preserve"> </w:t>
      </w:r>
      <w:r>
        <w:t xml:space="preserve">— без базовой платформы и дополнительных компонентов. Полную стоимость системы проще всего прикинуть в</w:t>
      </w:r>
      <w:r>
        <w:t xml:space="preserve"> </w:t>
      </w:r>
      <w:hyperlink r:id="rId22">
        <w:r>
          <w:rPr>
            <w:rStyle w:val="Hyperlink"/>
          </w:rPr>
          <w:t xml:space="preserve">калькуляторе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6" w:name="X9d6ed03f77f0b93d33ad38a75672fcb781ee0bf"/>
    <w:p>
      <w:pPr>
        <w:pStyle w:val="Heading2"/>
      </w:pPr>
      <w:r>
        <w:t xml:space="preserve">Типичные ошибки: топ-5 граблей, на которые наступают все</w:t>
      </w:r>
    </w:p>
    <w:p>
      <w:pPr>
        <w:pStyle w:val="FirstParagraph"/>
      </w:pPr>
      <w:r>
        <w:t xml:space="preserve">За годы работы мы собрали коллекцию ошибок, которые повторяются из проекта в проект. Вот главные:</w:t>
      </w:r>
    </w:p>
    <w:bookmarkStart w:id="31" w:name="недооценка-количества-тегов"/>
    <w:p>
      <w:pPr>
        <w:pStyle w:val="Heading3"/>
      </w:pPr>
      <w:r>
        <w:t xml:space="preserve">1. Недооценка количества тегов</w:t>
      </w:r>
    </w:p>
    <w:p>
      <w:pPr>
        <w:pStyle w:val="FirstParagraph"/>
      </w:pPr>
      <w:r>
        <w:t xml:space="preserve">Самая частая ошибка. Проектировщик считает теги по основному технологическому процессу и забывает про вспомогательные системы: вентиляцию, электроснабжение, частотные приводы, аналитические приборы. А они тоже генерируют теги, которые нужно архивировать.</w:t>
      </w:r>
    </w:p>
    <w:p>
      <w:pPr>
        <w:pStyle w:val="BodyText"/>
      </w:pPr>
      <w:r>
        <w:rPr>
          <w:bCs/>
          <w:b/>
        </w:rPr>
        <w:t xml:space="preserve">Как избежать:</w:t>
      </w:r>
      <w:r>
        <w:t xml:space="preserve"> </w:t>
      </w:r>
      <w:r>
        <w:t xml:space="preserve">закладывайте 20–30% запас. Или посчитайте честно — пройдитесь по всем P&amp;ID и спецификациям оборудования.</w:t>
      </w:r>
    </w:p>
    <w:bookmarkEnd w:id="31"/>
    <w:bookmarkStart w:id="32" w:name="забыли-про-резерв"/>
    <w:p>
      <w:pPr>
        <w:pStyle w:val="Heading3"/>
      </w:pPr>
      <w:r>
        <w:t xml:space="preserve">2. Забыли про резерв</w:t>
      </w:r>
    </w:p>
    <w:p>
      <w:pPr>
        <w:pStyle w:val="FirstParagraph"/>
      </w:pPr>
      <w:r>
        <w:t xml:space="preserve">«Зачем нам резерв? У нас надёжное оборудование!» — слышали мы не раз. А потом, когда контракт уже подписан, приходит требование по надёжности: резервирование обязательно. И бюджет нужно удваивать.</w:t>
      </w:r>
    </w:p>
    <w:p>
      <w:pPr>
        <w:pStyle w:val="BodyText"/>
      </w:pPr>
      <w:r>
        <w:rPr>
          <w:bCs/>
          <w:b/>
        </w:rPr>
        <w:t xml:space="preserve">Как избежать:</w:t>
      </w:r>
      <w:r>
        <w:t xml:space="preserve"> </w:t>
      </w:r>
      <w:r>
        <w:t xml:space="preserve">на этапе ТЗ сразу определите, нужен ли резервный Historian. Для непрерывного производства ответ почти всегда — да.</w:t>
      </w:r>
    </w:p>
    <w:bookmarkEnd w:id="32"/>
    <w:bookmarkStart w:id="33" w:name="не-учли-sla"/>
    <w:p>
      <w:pPr>
        <w:pStyle w:val="Heading3"/>
      </w:pPr>
      <w:r>
        <w:t xml:space="preserve">3. Не учли SLA</w:t>
      </w:r>
    </w:p>
    <w:p>
      <w:pPr>
        <w:pStyle w:val="FirstParagraph"/>
      </w:pPr>
      <w:r>
        <w:t xml:space="preserve">Лицензия — разовый платёж. Но поддержка — ежегодная. 10–25% от стоимости лицензий каждый год. На горизонте 5 лет поддержка может превысить стоимость самих лицензий.</w:t>
      </w:r>
    </w:p>
    <w:p>
      <w:pPr>
        <w:pStyle w:val="BodyText"/>
      </w:pPr>
      <w:r>
        <w:rPr>
          <w:bCs/>
          <w:b/>
        </w:rPr>
        <w:t xml:space="preserve">Как избежать:</w:t>
      </w:r>
      <w:r>
        <w:t xml:space="preserve"> </w:t>
      </w:r>
      <w:r>
        <w:t xml:space="preserve">сразу считайте TCO (полную стоимость владения) на 3–5 лет.</w:t>
      </w:r>
    </w:p>
    <w:bookmarkEnd w:id="33"/>
    <w:bookmarkStart w:id="34" w:name="не-уточнили-правила-подсчёта-тегов"/>
    <w:p>
      <w:pPr>
        <w:pStyle w:val="Heading3"/>
      </w:pPr>
      <w:r>
        <w:t xml:space="preserve">4. Не уточнили правила подсчёта тегов</w:t>
      </w:r>
    </w:p>
    <w:p>
      <w:pPr>
        <w:pStyle w:val="FirstParagraph"/>
      </w:pPr>
      <w:r>
        <w:t xml:space="preserve">Правила зависят от версии и конфигурации. То, что считается тегом в одной версии, может учитываться иначе в другой. Мы видели разницу в 15–20% при пересчёте.</w:t>
      </w:r>
    </w:p>
    <w:p>
      <w:pPr>
        <w:pStyle w:val="BodyText"/>
      </w:pPr>
      <w:r>
        <w:rPr>
          <w:bCs/>
          <w:b/>
        </w:rPr>
        <w:t xml:space="preserve">Как избежать:</w:t>
      </w:r>
      <w:r>
        <w:t xml:space="preserve"> </w:t>
      </w:r>
      <w:r>
        <w:t xml:space="preserve">всегда сверяйтесь с актуальной документацией или уточняйте у поставщика.</w:t>
      </w:r>
    </w:p>
    <w:bookmarkEnd w:id="34"/>
    <w:bookmarkStart w:id="35" w:name="не-посчитали-дополнительные-компоненты"/>
    <w:p>
      <w:pPr>
        <w:pStyle w:val="Heading3"/>
      </w:pPr>
      <w:r>
        <w:t xml:space="preserve">5. Не посчитали дополнительные компоненты</w:t>
      </w:r>
    </w:p>
    <w:p>
      <w:pPr>
        <w:pStyle w:val="FirstParagraph"/>
      </w:pPr>
      <w:r>
        <w:t xml:space="preserve">Historian без визуализации, отчётов или web-доступа — как автомобиль без колёс. Технически он работает, но ездить на нём невозможно. Дополнительные компоненты — это реальная строка бюджета, которую нельзя игнорировать.</w:t>
      </w:r>
    </w:p>
    <w:p>
      <w:pPr>
        <w:pStyle w:val="BodyText"/>
      </w:pPr>
      <w:r>
        <w:rPr>
          <w:bCs/>
          <w:b/>
        </w:rPr>
        <w:t xml:space="preserve">Как избежать:</w:t>
      </w:r>
      <w:r>
        <w:t xml:space="preserve"> </w:t>
      </w:r>
      <w:r>
        <w:t xml:space="preserve">составьте полный список функциональности, которая нужна проекту, и посчитайте всё сразу.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чек-лист-для-расчёта-бюджета"/>
    <w:p>
      <w:pPr>
        <w:pStyle w:val="Heading2"/>
      </w:pPr>
      <w:r>
        <w:t xml:space="preserve">Чек-лист для расчёта бюджета</w:t>
      </w:r>
    </w:p>
    <w:p>
      <w:pPr>
        <w:pStyle w:val="FirstParagraph"/>
      </w:pPr>
      <w:r>
        <w:t xml:space="preserve">Распечатайте и используйте:</w:t>
      </w:r>
    </w:p>
    <w:p>
      <w:pPr>
        <w:numPr>
          <w:ilvl w:val="0"/>
          <w:numId w:val="1004"/>
        </w:numPr>
        <w:pStyle w:val="Compact"/>
      </w:pPr>
      <w:r>
        <w:t xml:space="preserve">☐ Определили, какие сигналы и события нужно архивировать</w:t>
      </w:r>
    </w:p>
    <w:p>
      <w:pPr>
        <w:numPr>
          <w:ilvl w:val="0"/>
          <w:numId w:val="1004"/>
        </w:numPr>
        <w:pStyle w:val="Compact"/>
      </w:pPr>
      <w:r>
        <w:t xml:space="preserve">☐ Посчитали только внешние теги (внутренние и события — бесплатно)</w:t>
      </w:r>
    </w:p>
    <w:p>
      <w:pPr>
        <w:numPr>
          <w:ilvl w:val="0"/>
          <w:numId w:val="1004"/>
        </w:numPr>
        <w:pStyle w:val="Compact"/>
      </w:pPr>
      <w:r>
        <w:t xml:space="preserve">☐ Сопоставили объём с градациями HIST-S (выбрали с запасом)</w:t>
      </w:r>
    </w:p>
    <w:p>
      <w:pPr>
        <w:numPr>
          <w:ilvl w:val="0"/>
          <w:numId w:val="1004"/>
        </w:numPr>
        <w:pStyle w:val="Compact"/>
      </w:pPr>
      <w:r>
        <w:t xml:space="preserve">☐ Определили необходимость резервирования (×2 к лицензиям)</w:t>
      </w:r>
    </w:p>
    <w:p>
      <w:pPr>
        <w:numPr>
          <w:ilvl w:val="0"/>
          <w:numId w:val="1004"/>
        </w:numPr>
        <w:pStyle w:val="Compact"/>
      </w:pPr>
      <w:r>
        <w:t xml:space="preserve">☐ Выбрали уровень SLA (STD 10% / OPT 15% / PRM 25%)</w:t>
      </w:r>
    </w:p>
    <w:p>
      <w:pPr>
        <w:numPr>
          <w:ilvl w:val="0"/>
          <w:numId w:val="1004"/>
        </w:numPr>
        <w:pStyle w:val="Compact"/>
      </w:pPr>
      <w:r>
        <w:t xml:space="preserve">☐ Рассчитали TCO на 3–5 лет (лицензии + поддержка × годы)</w:t>
      </w:r>
    </w:p>
    <w:p>
      <w:pPr>
        <w:numPr>
          <w:ilvl w:val="0"/>
          <w:numId w:val="1004"/>
        </w:numPr>
        <w:pStyle w:val="Compact"/>
      </w:pPr>
      <w:r>
        <w:t xml:space="preserve">☐ Учли дополнительные компоненты платформы</w:t>
      </w:r>
    </w:p>
    <w:p>
      <w:pPr>
        <w:numPr>
          <w:ilvl w:val="0"/>
          <w:numId w:val="1004"/>
        </w:numPr>
        <w:pStyle w:val="Compact"/>
      </w:pPr>
      <w:r>
        <w:t xml:space="preserve">☐ Сверили правила подсчёта с документацией или поставщиком</w:t>
      </w:r>
    </w:p>
    <w:p>
      <w:pPr>
        <w:numPr>
          <w:ilvl w:val="0"/>
          <w:numId w:val="1004"/>
        </w:numPr>
        <w:pStyle w:val="Compact"/>
      </w:pPr>
      <w:r>
        <w:t xml:space="preserve">☐ Прогнали расчёт через</w:t>
      </w:r>
      <w:r>
        <w:t xml:space="preserve"> </w:t>
      </w:r>
      <w:hyperlink r:id="rId22">
        <w:r>
          <w:rPr>
            <w:rStyle w:val="Hyperlink"/>
          </w:rPr>
          <w:t xml:space="preserve">калькулятор</w:t>
        </w:r>
      </w:hyperlink>
    </w:p>
    <w:p>
      <w:r>
        <w:pict>
          <v:rect style="width:0;height:1.5pt" o:hralign="center" o:hrstd="t" o:hr="t"/>
        </w:pict>
      </w:r>
    </w:p>
    <w:bookmarkEnd w:id="37"/>
    <w:bookmarkStart w:id="38" w:name="X2571f55593da40697ad59d0e7a971335954864c"/>
    <w:p>
      <w:pPr>
        <w:pStyle w:val="Heading2"/>
      </w:pPr>
      <w:r>
        <w:t xml:space="preserve">Сравнение с конкурентами: на что обращать внимание</w:t>
      </w:r>
    </w:p>
    <w:p>
      <w:pPr>
        <w:pStyle w:val="FirstParagraph"/>
      </w:pPr>
      <w:r>
        <w:t xml:space="preserve">При выборе историана (да, мы так говорим в нашей отрасли) важно сравнивать не просто «цену за 5000 тегов», а полную картину: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90"/>
        <w:gridCol w:w="2390"/>
        <w:gridCol w:w="31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сравнивать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к конкуренту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Единица лицензирования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считается архивируемый объём?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STD/OPT/PRM — процент от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обязательные сервисные платежи?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Отдельная 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ли отдельная лицензия на резерв?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Дополнительные 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Считаются по составу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входит в базу, а что — за доплату?</w:t>
            </w:r>
          </w:p>
        </w:tc>
      </w:tr>
    </w:tbl>
    <w:p>
      <w:pPr>
        <w:pStyle w:val="BodyText"/>
      </w:pPr>
      <w:r>
        <w:t xml:space="preserve">Мы не раз видели, как «дешёвый» конкурент оказывался дороже после учёта обязательных сервисных контрактов и скрытых платежей за модули, которые у Alpha.Historian входят в базу.</w:t>
      </w:r>
    </w:p>
    <w:p>
      <w:pPr>
        <w:pStyle w:val="BlockText"/>
      </w:pPr>
      <w:r>
        <w:rPr>
          <w:bCs/>
          <w:b/>
        </w:rPr>
        <w:t xml:space="preserve">Совет:</w:t>
      </w:r>
      <w:r>
        <w:t xml:space="preserve"> </w:t>
      </w:r>
      <w:r>
        <w:t xml:space="preserve">всегда сравнивайте TCO за 5 лет, а не стоимость лицензии на бумаге. Это честнее — и для бюджета, и для нервов.</w:t>
      </w:r>
    </w:p>
    <w:p>
      <w:r>
        <w:pict>
          <v:rect style="width:0;height:1.5pt" o:hralign="center" o:hrstd="t" o:hr="t"/>
        </w:pict>
      </w:r>
    </w:p>
    <w:bookmarkEnd w:id="38"/>
    <w:bookmarkStart w:id="43" w:name="итого"/>
    <w:p>
      <w:pPr>
        <w:pStyle w:val="Heading2"/>
      </w:pPr>
      <w:r>
        <w:t xml:space="preserve">Итого</w:t>
      </w:r>
    </w:p>
    <w:p>
      <w:pPr>
        <w:pStyle w:val="FirstParagraph"/>
      </w:pPr>
      <w:r>
        <w:t xml:space="preserve">Лицензирование Alpha.Historian — не rocket science, но и не тривиальная задача. Главные правила: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Считайте только внешние теги</w:t>
      </w:r>
      <w:r>
        <w:t xml:space="preserve"> </w:t>
      </w:r>
      <w:r>
        <w:t xml:space="preserve">— внутренние и события бесплатны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Берите градацию с запасом</w:t>
      </w:r>
      <w:r>
        <w:t xml:space="preserve"> </w:t>
      </w:r>
      <w:r>
        <w:t xml:space="preserve">— апгрейд лицензии дороже, чем изначально правильный выбор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Закладывайте резерв сразу</w:t>
      </w:r>
      <w:r>
        <w:t xml:space="preserve"> </w:t>
      </w:r>
      <w:r>
        <w:t xml:space="preserve">— он удваивает стоимость, и лучше об этом знать на этапе планирования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 забывайте про SLA</w:t>
      </w:r>
      <w:r>
        <w:t xml:space="preserve"> </w:t>
      </w:r>
      <w:r>
        <w:t xml:space="preserve">— 10–25% ежегодно, и за 5 лет это ощутимая сумма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Используйте</w:t>
      </w:r>
      <w:r>
        <w:rPr>
          <w:bCs/>
          <w:b/>
        </w:rPr>
        <w:t xml:space="preserve"> </w:t>
      </w:r>
      <w:hyperlink r:id="rId22">
        <w:r>
          <w:rPr>
            <w:rStyle w:val="Hyperlink"/>
            <w:bCs/>
            <w:b/>
          </w:rPr>
          <w:t xml:space="preserve">калькулятор</w:t>
        </w:r>
      </w:hyperlink>
      <w:r>
        <w:t xml:space="preserve"> </w:t>
      </w:r>
      <w:r>
        <w:t xml:space="preserve">— он считает быстрее и точнее, чем таблица в Excel</w:t>
      </w:r>
    </w:p>
    <w:p>
      <w:pPr>
        <w:pStyle w:val="FirstParagraph"/>
      </w:pPr>
      <w:r>
        <w:t xml:space="preserve">Если что-то непонятно или нужна помощь с расчётом конкретного проекта —</w:t>
      </w:r>
      <w:r>
        <w:t xml:space="preserve"> </w:t>
      </w:r>
      <w:hyperlink r:id="rId39">
        <w:r>
          <w:rPr>
            <w:rStyle w:val="Hyperlink"/>
          </w:rPr>
          <w:t xml:space="preserve">напишите нам</w:t>
        </w:r>
      </w:hyperlink>
      <w:r>
        <w:t xml:space="preserve">. Мы не кусаемся и любим интересные задачки по лицензированию. Серьёзно.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// Читайте также:</w:t>
      </w:r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Alpha.Historian 4.0: NoSQL для промышленных данных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Архитектура Альфа платформы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Масштабирование SCADA</w:t>
        </w:r>
      </w:hyperlink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/blog/architecture.html" TargetMode="External" /><Relationship Type="http://schemas.openxmlformats.org/officeDocument/2006/relationships/hyperlink" Id="rId40" Target="/blog/historian.html" TargetMode="External" /><Relationship Type="http://schemas.openxmlformats.org/officeDocument/2006/relationships/hyperlink" Id="rId42" Target="/blog/scaling.html" TargetMode="External" /><Relationship Type="http://schemas.openxmlformats.org/officeDocument/2006/relationships/hyperlink" Id="rId22" Target="/calculator.html" TargetMode="External" /><Relationship Type="http://schemas.openxmlformats.org/officeDocument/2006/relationships/hyperlink" Id="rId39" Target="/index.html#conta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/blog/architecture.html" TargetMode="External" /><Relationship Type="http://schemas.openxmlformats.org/officeDocument/2006/relationships/hyperlink" Id="rId40" Target="/blog/historian.html" TargetMode="External" /><Relationship Type="http://schemas.openxmlformats.org/officeDocument/2006/relationships/hyperlink" Id="rId42" Target="/blog/scaling.html" TargetMode="External" /><Relationship Type="http://schemas.openxmlformats.org/officeDocument/2006/relationships/hyperlink" Id="rId22" Target="/calculator.html" TargetMode="External" /><Relationship Type="http://schemas.openxmlformats.org/officeDocument/2006/relationships/hyperlink" Id="rId39" Target="/index.html#conta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2026-04-01T20:31:29Z</dcterms:created>
  <dcterms:modified xsi:type="dcterms:W3CDTF">2026-04-01T20:31:29Z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