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3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1fe31456eb51463c83ad2a7baf3734729bda6e4"/>
    <w:p>
      <w:pPr>
        <w:pStyle w:val="Heading1"/>
      </w:pPr>
      <w:r>
        <w:t xml:space="preserve">Миграция с AVEVA на Альфа платформу в нефтедобыче: как мы это делали</w:t>
      </w:r>
    </w:p>
    <w:p>
      <w:pPr>
        <w:pStyle w:val="FirstParagraph"/>
      </w:pPr>
      <w:r>
        <w:t xml:space="preserve">AVEVA ушла из России — лицензии не продлить, обновлений нет, поддержки нет. На промыслах Западной Сибири десятки диспетчерских пунктов работают на InTouch и System Platform, и часы тикают: лицензионные ключи конечны, а Windows без патчей — это дыра в безопасности на объекте КИИ.</w:t>
      </w:r>
    </w:p>
    <w:p>
      <w:pPr>
        <w:pStyle w:val="BodyText"/>
      </w:pPr>
      <w:r>
        <w:t xml:space="preserve">Мы прошли несколько таких миграций — с AVEVA на Альфа платформу (АО «Атомик Софт»). Объекты типовые: диспетчерский пункт нефтепромысла, 50–200 кустов, 10 000–30 000 сигналов, телемеханика по IEC 104 и Modbus. В этой статье — наш практический опыт: что получилось, где споткнулись и что бы сделали иначе.</w:t>
      </w:r>
    </w:p>
    <w:p>
      <w:r>
        <w:pict>
          <v:rect style="width:0;height:1.5pt" o:hralign="center" o:hrstd="t" o:hr="t"/>
        </w:pict>
      </w:r>
    </w:p>
    <w:bookmarkStart w:id="26" w:name="что-стояло-и-что-ставили"/>
    <w:p>
      <w:pPr>
        <w:pStyle w:val="Heading2"/>
      </w:pPr>
      <w:r>
        <w:t xml:space="preserve">Что стояло и что ставили</w:t>
      </w:r>
    </w:p>
    <w:p>
      <w:pPr>
        <w:pStyle w:val="FirstParagraph"/>
      </w:pPr>
      <w:r>
        <w:t xml:space="preserve">Первый шаг — честная инвентаризация. На каждом объекте мы составляли карту: какие компоненты AVEVA реально работают, а какие «стоят на всякий случай».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 AVEVA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поставили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именно это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InTouch / System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Alpha.HMI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дизайнер + визуализатор, скрипты на Alpha.Om и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AVEVA Historian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Alpha.Historian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800 000 записей/с на запись, LZMA-сжатие, работает на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 Server / DAServer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Alpha.Server 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Встроенные IEC 104, Modbus — без OPC-прослойки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Alarm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Alpha.Alarms 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Квитирование, подавление, агрегатор по веткам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AVEVA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Alpha.Reports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Конструктор + планировщик + веб-интерфейс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Galaxy (объектная модель)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Alpha.DevStudio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Типизация, CLI для массовых операций, SVN/Git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InTouch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Alpha.HMI.WebViewer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Браузер, WebSocket, без клиентского ПО</w:t>
            </w:r>
          </w:p>
        </w:tc>
      </w:tr>
    </w:tbl>
    <w:p>
      <w:pPr>
        <w:pStyle w:val="BodyText"/>
      </w:pPr>
      <w:r>
        <w:t xml:space="preserve">Ключевое архитектурное отличие, которое мы оценили только в процессе: в AVEVA каждый компонент — отдельный продукт с отдельной историей. InTouch и Historian — разные кодовые базы. Альфа платформа — единая среда с общим протоколом Alpha.Link. На практике это значит меньше точек интеграции и меньше мест, где что-то может сломаться.</w:t>
      </w:r>
    </w:p>
    <w:p>
      <w:pPr>
        <w:pStyle w:val="BodyText"/>
      </w:pPr>
      <w:r>
        <w:t xml:space="preserve">Общая архитектура миграции показана на рис. 1.</w:t>
      </w:r>
    </w:p>
    <w:p>
      <w:pPr>
        <w:pStyle w:val="BodyText"/>
      </w:pPr>
      <w:r>
        <w:rPr>
          <w:bCs/>
          <w:b/>
        </w:rPr>
        <w:t xml:space="preserve">Рис. 1.</w:t>
      </w:r>
      <w:r>
        <w:t xml:space="preserve"> </w:t>
      </w:r>
      <w:r>
        <w:t xml:space="preserve">Архитектура миграции: AVEVA (слева) → параллельная работа → Альфа платформа (справа). Оба сервера подключены к RTU по IEC 104. Данные пишутся в оба историана. Переключение — после 2–4 недель параллельной работы.</w:t>
      </w:r>
    </w:p>
    <w:p>
      <w:pPr>
        <w:pStyle w:val="BodyText"/>
      </w:pPr>
      <w:r>
        <w:rPr>
          <w:iCs/>
          <w:i/>
        </w:rPr>
        <w:t xml:space="preserve">Вариант A (Mermaid):</w:t>
      </w:r>
    </w:p>
    <w:p>
      <w:pPr>
        <w:pStyle w:val="CaptionedFigure"/>
      </w:pPr>
      <w:r>
        <w:drawing>
          <wp:inline>
            <wp:extent cx="5334000" cy="4721157"/>
            <wp:effectExtent b="0" l="0" r="0" t="0"/>
            <wp:docPr descr="Рис. 1 — Mermaid" title="" id="21" name="Picture"/>
            <a:graphic>
              <a:graphicData uri="http://schemas.openxmlformats.org/drawingml/2006/picture">
                <pic:pic>
                  <pic:nvPicPr>
                    <pic:cNvPr descr="fig1-mermai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1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 — Mermaid</w:t>
      </w:r>
    </w:p>
    <w:p>
      <w:pPr>
        <w:pStyle w:val="BodyText"/>
      </w:pPr>
      <w:r>
        <w:rPr>
          <w:iCs/>
          <w:i/>
        </w:rPr>
        <w:t xml:space="preserve">Вариант B (HTML/CSS):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Рис. 1 — HTML" title="" id="24" name="Picture"/>
            <a:graphic>
              <a:graphicData uri="http://schemas.openxmlformats.org/drawingml/2006/picture">
                <pic:pic>
                  <pic:nvPicPr>
                    <pic:cNvPr descr="fig1-htm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 — HTML</w:t>
      </w:r>
    </w:p>
    <w:p>
      <w:r>
        <w:pict>
          <v:rect style="width:0;height:1.5pt" o:hralign="center" o:hrstd="t" o:hr="t"/>
        </w:pict>
      </w:r>
    </w:p>
    <w:bookmarkEnd w:id="26"/>
    <w:bookmarkStart w:id="27" w:name="аудит-23-недели-которые-экономят-месяцы"/>
    <w:p>
      <w:pPr>
        <w:pStyle w:val="Heading2"/>
      </w:pPr>
      <w:r>
        <w:t xml:space="preserve">Аудит: 2–3 недели, которые экономят месяцы</w:t>
      </w:r>
    </w:p>
    <w:p>
      <w:pPr>
        <w:pStyle w:val="FirstParagraph"/>
      </w:pPr>
      <w:r>
        <w:t xml:space="preserve">На одном из первых проектов мы пропустили детальный аудит скриптов InTouch. Думали — «мнемосхемы простые, скриптов немного». Оказалось, что в QuickScript было зашито 40% логики сигнализации. На переписывание ушло три лишние недели.</w:t>
      </w:r>
    </w:p>
    <w:p>
      <w:pPr>
        <w:pStyle w:val="BodyText"/>
      </w:pPr>
      <w:r>
        <w:t xml:space="preserve">С тех пор аудит — обязательный первый этап:</w:t>
      </w:r>
    </w:p>
    <w:p>
      <w:pPr>
        <w:pStyle w:val="BodyText"/>
      </w:pPr>
      <w:r>
        <w:rPr>
          <w:bCs/>
          <w:b/>
        </w:rPr>
        <w:t xml:space="preserve">Сигналы.</w:t>
      </w:r>
      <w:r>
        <w:t xml:space="preserve"> </w:t>
      </w:r>
      <w:r>
        <w:t xml:space="preserve">Выгружаем полный реестр из Galaxy Repository (</w:t>
      </w:r>
      <w:r>
        <w:rPr>
          <w:rStyle w:val="VerbatimChar"/>
        </w:rPr>
        <w:t xml:space="preserve">aaDumpData</w:t>
      </w:r>
      <w:r>
        <w:t xml:space="preserve">) или из InTouch (CSV через WindowMaker). Типовой промысел — 10 000–30 000 тегов: 60–70% дискретных, 25–35% аналоговых, остальное — служебные.</w:t>
      </w:r>
    </w:p>
    <w:p>
      <w:pPr>
        <w:pStyle w:val="BodyText"/>
      </w:pPr>
      <w:r>
        <w:rPr>
          <w:bCs/>
          <w:b/>
        </w:rPr>
        <w:t xml:space="preserve">Коммуникации.</w:t>
      </w:r>
      <w:r>
        <w:t xml:space="preserve"> </w:t>
      </w:r>
      <w:r>
        <w:t xml:space="preserve">Документируем каналы: IEC 104 с кустов, Modbus TCP к локальным ПЛК, OPC DA к сторонним системам. Фиксируем адреса, циклы опроса, тайм-ауты. И тут первый приятный момент: Alpha.Server 6.4 имеет встроенные модули IEC-104 Master и Modbus TCP Master. Сторонние OPC-серверы (MatrikonOPC, KEPServerEX) — больше не нужны. Цепочка «RTU → OPC-сервер → SCADA» сокращается до «RTU → Alpha.Server».</w:t>
      </w:r>
    </w:p>
    <w:p>
      <w:pPr>
        <w:pStyle w:val="BodyText"/>
      </w:pPr>
      <w:r>
        <w:rPr>
          <w:bCs/>
          <w:b/>
        </w:rPr>
        <w:t xml:space="preserve">Скрипты и мнемосхемы.</w:t>
      </w:r>
      <w:r>
        <w:t xml:space="preserve"> </w:t>
      </w:r>
      <w:r>
        <w:t xml:space="preserve">Считаем экраны, оцениваем объём QuickScript. Автоконвертация из InTouch невозможна — форматы несовместимы. Но это не страшно: это возможность переделать мнемосхемы нормально.</w:t>
      </w:r>
    </w:p>
    <w:p>
      <w:r>
        <w:pict>
          <v:rect style="width:0;height:1.5pt" o:hralign="center" o:hrstd="t" o:hr="t"/>
        </w:pict>
      </w:r>
    </w:p>
    <w:bookmarkEnd w:id="27"/>
    <w:bookmarkStart w:id="34" w:name="проектирование-типизация-решает"/>
    <w:p>
      <w:pPr>
        <w:pStyle w:val="Heading2"/>
      </w:pPr>
      <w:r>
        <w:t xml:space="preserve">Проектирование: типизация решает</w:t>
      </w:r>
    </w:p>
    <w:p>
      <w:pPr>
        <w:pStyle w:val="FirstParagraph"/>
      </w:pPr>
      <w:r>
        <w:t xml:space="preserve">Вот где Альфа платформа по-настоящему экономит время. В DevStudio мы строили иерархию объектов промысла и создавали</w:t>
      </w:r>
      <w:r>
        <w:t xml:space="preserve"> </w:t>
      </w:r>
      <w:r>
        <w:rPr>
          <w:bCs/>
          <w:b/>
        </w:rPr>
        <w:t xml:space="preserve">типы</w:t>
      </w:r>
      <w:r>
        <w:t xml:space="preserve"> </w:t>
      </w:r>
      <w:r>
        <w:t xml:space="preserve">— аналог ArchestrA Templates в Galaxy, но проще.</w:t>
      </w:r>
    </w:p>
    <w:p>
      <w:pPr>
        <w:pStyle w:val="BodyText"/>
      </w:pPr>
      <w:r>
        <w:t xml:space="preserve">Тип «Скважина ЭЦН» — это объект с 42 сигналами, формулами, привязками к IEC 104 и уставками тревог. Создаётся один раз. Для 200 скважин — 200 экземпляров одного типа с разными адресами. Тиражирование занимает минуты (рис. 2).</w:t>
      </w:r>
    </w:p>
    <w:p>
      <w:pPr>
        <w:pStyle w:val="BodyText"/>
      </w:pPr>
      <w:r>
        <w:rPr>
          <w:bCs/>
          <w:b/>
        </w:rPr>
        <w:t xml:space="preserve">Рис. 2.</w:t>
      </w:r>
      <w:r>
        <w:t xml:space="preserve"> </w:t>
      </w:r>
      <w:r>
        <w:t xml:space="preserve">Информационная модель промысла в Alpha.DevStudio: библиотека типов (ЭЦН, ШГН, АГЗУ, ЦНС) тиражируется на сотни экземпляров.</w:t>
      </w:r>
    </w:p>
    <w:p>
      <w:pPr>
        <w:pStyle w:val="BodyText"/>
      </w:pPr>
      <w:r>
        <w:rPr>
          <w:iCs/>
          <w:i/>
        </w:rPr>
        <w:t xml:space="preserve">Вариант A (Mermaid):</w:t>
      </w:r>
    </w:p>
    <w:p>
      <w:pPr>
        <w:pStyle w:val="CaptionedFigure"/>
      </w:pPr>
      <w:r>
        <w:drawing>
          <wp:inline>
            <wp:extent cx="5334000" cy="1086841"/>
            <wp:effectExtent b="0" l="0" r="0" t="0"/>
            <wp:docPr descr="Рис. 2 — Mermaid" title="" id="29" name="Picture"/>
            <a:graphic>
              <a:graphicData uri="http://schemas.openxmlformats.org/drawingml/2006/picture">
                <pic:pic>
                  <pic:nvPicPr>
                    <pic:cNvPr descr="fig2-mermai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 — Mermaid</w:t>
      </w:r>
    </w:p>
    <w:p>
      <w:pPr>
        <w:pStyle w:val="BodyText"/>
      </w:pPr>
      <w:r>
        <w:rPr>
          <w:iCs/>
          <w:i/>
        </w:rPr>
        <w:t xml:space="preserve">Вариант B (HTML/CSS):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2 — HTML" title="" id="32" name="Picture"/>
            <a:graphic>
              <a:graphicData uri="http://schemas.openxmlformats.org/drawingml/2006/picture">
                <pic:pic>
                  <pic:nvPicPr>
                    <pic:cNvPr descr="fig2-htm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 — HTML</w:t>
      </w:r>
    </w:p>
    <w:p>
      <w:pPr>
        <w:pStyle w:val="BodyText"/>
      </w:pPr>
      <w:r>
        <w:t xml:space="preserve">Разница с AVEVA: в Galaxy шаблон привязан к конкретному типу объекта (AppEngine, Area, DIO). В DevStudio все объекты равноправны — нет деления на «платформенные» и «пользовательские».</w:t>
      </w:r>
    </w:p>
    <w:p>
      <w:r>
        <w:pict>
          <v:rect style="width:0;height:1.5pt" o:hralign="center" o:hrstd="t" o:hr="t"/>
        </w:pict>
      </w:r>
    </w:p>
    <w:bookmarkEnd w:id="34"/>
    <w:bookmarkStart w:id="35" w:name="Xd35b543e40f15f2d35c78650b1d56e17b3ec48e"/>
    <w:p>
      <w:pPr>
        <w:pStyle w:val="Heading2"/>
      </w:pPr>
      <w:r>
        <w:t xml:space="preserve">Историан: не потерять данные и не потерять голову</w:t>
      </w:r>
    </w:p>
    <w:p>
      <w:pPr>
        <w:pStyle w:val="FirstParagraph"/>
      </w:pPr>
      <w:r>
        <w:t xml:space="preserve">Alpha.Historian 4.0 — собственный NoSQL TSDB, не требующий внешних СУБД. Вот что нас впечатлило: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AVEVA Historian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Alpha.Historian 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800 000 записей/с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 чтения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1 600 000 записей/с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Сжатие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Swinging Door (lossy)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LZMA (lossless, коэфф. 0.2–0.5)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+ Linux</w:t>
            </w:r>
          </w:p>
        </w:tc>
      </w:tr>
    </w:tbl>
    <w:p>
      <w:pPr>
        <w:pStyle w:val="BodyText"/>
      </w:pPr>
      <w:r>
        <w:t xml:space="preserve">Важный нюанс: AVEVA Historian теряет точки уже при записи (Swinging Door — lossy-сжатие). Alpha.Historian хранит всё и сжимает на уровне файлов. Мы пересматривали deadband для каждого проекта: для промысловых сигналов 0.5–1% от диапазона и интервал 1–5 секунд — оптимальный баланс.</w:t>
      </w:r>
    </w:p>
    <w:p>
      <w:pPr>
        <w:pStyle w:val="BodyText"/>
      </w:pPr>
      <w:r>
        <w:rPr>
          <w:bCs/>
          <w:b/>
        </w:rPr>
        <w:t xml:space="preserve">Что делать со старыми архивами?</w:t>
      </w:r>
      <w:r>
        <w:t xml:space="preserve"> </w:t>
      </w:r>
      <w:r>
        <w:t xml:space="preserve">Мы оставляли AVEVA Historian в режиме «только чтение» на 6–12 месяцев, параллельно записывая новые данные в Alpha.Historian. Для критичных сигналов потом перегоняли историю через OPC HDA Client.</w:t>
      </w:r>
    </w:p>
    <w:p>
      <w:r>
        <w:pict>
          <v:rect style="width:0;height:1.5pt" o:hralign="center" o:hrstd="t" o:hr="t"/>
        </w:pict>
      </w:r>
    </w:p>
    <w:bookmarkEnd w:id="35"/>
    <w:bookmarkStart w:id="36" w:name="резервирование-журнал-транзакций"/>
    <w:p>
      <w:pPr>
        <w:pStyle w:val="Heading2"/>
      </w:pPr>
      <w:r>
        <w:t xml:space="preserve">Резервирование: журнал транзакций</w:t>
      </w:r>
    </w:p>
    <w:p>
      <w:pPr>
        <w:pStyle w:val="FirstParagraph"/>
      </w:pPr>
      <w:r>
        <w:t xml:space="preserve">Для нефтедобычи резервирование сервера — не опция, а требование. Мы были приятно удивлены тем, как это реализовано в Альфа платформе.</w:t>
      </w:r>
    </w:p>
    <w:p>
      <w:pPr>
        <w:pStyle w:val="BodyText"/>
      </w:pPr>
      <w:r>
        <w:t xml:space="preserve">Master-Slave репликация построена на</w:t>
      </w:r>
      <w:r>
        <w:t xml:space="preserve"> </w:t>
      </w:r>
      <w:r>
        <w:rPr>
          <w:bCs/>
          <w:b/>
        </w:rPr>
        <w:t xml:space="preserve">журнале транзакций</w:t>
      </w:r>
      <w:r>
        <w:t xml:space="preserve"> </w:t>
      </w:r>
      <w:r>
        <w:t xml:space="preserve">— центральном тракте, через который проходят все события Alpha.Server. Журнал непрерывно реплицируется с Master на Slave. Slave не дублирует вычисления — только принимает результаты. Это экономит ресурсы и исключает расхождение состояний.</w:t>
      </w:r>
    </w:p>
    <w:p>
      <w:pPr>
        <w:pStyle w:val="BodyText"/>
      </w:pPr>
      <w:r>
        <w:t xml:space="preserve">При штатном переходе новый Master продолжает с позиции, следующей за последней обработанной старым. Инициализация на типовых конфигурациях (десятки тысяч сигналов) — доли секунды. За всё время эксплуатации мы ни разу не наблюдали потери данных при штатных переходах.</w:t>
      </w:r>
    </w:p>
    <w:p>
      <w:pPr>
        <w:pStyle w:val="BodyText"/>
      </w:pPr>
      <w:r>
        <w:t xml:space="preserve">Дополнительно —</w:t>
      </w:r>
      <w:r>
        <w:t xml:space="preserve"> </w:t>
      </w:r>
      <w:r>
        <w:rPr>
          <w:bCs/>
          <w:b/>
        </w:rPr>
        <w:t xml:space="preserve">файловая буферизация</w:t>
      </w:r>
      <w:r>
        <w:t xml:space="preserve"> </w:t>
      </w:r>
      <w:r>
        <w:t xml:space="preserve">между узлами. При разрыве связи между Alpha.Server и Historian данные копятся в локальном буфере на диске и отправляются после восстановления. На промыслах с нестабильными каналами (радиорелейка, спутник) этот механизм спасал многочасовые архивы.</w:t>
      </w:r>
    </w:p>
    <w:p>
      <w:r>
        <w:pict>
          <v:rect style="width:0;height:1.5pt" o:hralign="center" o:hrstd="t" o:hr="t"/>
        </w:pict>
      </w:r>
    </w:p>
    <w:bookmarkEnd w:id="36"/>
    <w:bookmarkStart w:id="37" w:name="тревоги-гибче-чем-в-aveva"/>
    <w:p>
      <w:pPr>
        <w:pStyle w:val="Heading2"/>
      </w:pPr>
      <w:r>
        <w:t xml:space="preserve">Тревоги: гибче, чем в AVEVA</w:t>
      </w:r>
    </w:p>
    <w:p>
      <w:pPr>
        <w:pStyle w:val="FirstParagraph"/>
      </w:pPr>
      <w:r>
        <w:t xml:space="preserve">Alpha.Alarms 3.30 оказался серьёзным шагом вперёд. Помимо стандартных уставок HiHi/Hi/Lo/LoLo, мы использовали: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Логические условия</w:t>
      </w:r>
      <w:r>
        <w:t xml:space="preserve"> </w:t>
      </w:r>
      <w:r>
        <w:t xml:space="preserve">на Alpha.Om — «давление на выходе насоса &lt; давления на входе + 0.5 МПа И насос в работе». В AVEVA для этого пришлось бы городить расчётный тег + alarm limit.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Подавление (shelving)</w:t>
      </w:r>
      <w:r>
        <w:t xml:space="preserve"> </w:t>
      </w:r>
      <w:r>
        <w:t xml:space="preserve">— при ремонте куста одной кнопкой убираем десятки тревог от отключённого оборудования. С логированием: кто, когда, на какой срок.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Агрегатор</w:t>
      </w:r>
      <w:r>
        <w:t xml:space="preserve"> </w:t>
      </w:r>
      <w:r>
        <w:t xml:space="preserve">— на общем плане промысла каждый куст = один индикатор: зелёный / жёлтый / красный. Диспетчер видит картину целиком, не листая экраны.</w:t>
      </w:r>
    </w:p>
    <w:p>
      <w:r>
        <w:pict>
          <v:rect style="width:0;height:1.5pt" o:hralign="center" o:hrstd="t" o:hr="t"/>
        </w:pict>
      </w:r>
    </w:p>
    <w:bookmarkEnd w:id="37"/>
    <w:bookmarkStart w:id="38" w:name="параллельная-работа-и-переключение"/>
    <w:p>
      <w:pPr>
        <w:pStyle w:val="Heading2"/>
      </w:pPr>
      <w:r>
        <w:t xml:space="preserve">Параллельная работа и переключение</w:t>
      </w:r>
    </w:p>
    <w:p>
      <w:pPr>
        <w:pStyle w:val="FirstParagraph"/>
      </w:pPr>
      <w:r>
        <w:t xml:space="preserve">Переключение «в один день» на промысловом объекте — неприемлемый риск. Наш алгоритм:</w:t>
      </w:r>
    </w:p>
    <w:p>
      <w:pPr>
        <w:numPr>
          <w:ilvl w:val="0"/>
          <w:numId w:val="1002"/>
        </w:numPr>
        <w:pStyle w:val="Compact"/>
      </w:pPr>
      <w:r>
        <w:t xml:space="preserve">Alpha.Server подключается к тем же RTU параллельно — IEC 104 допускает несколько Master.</w:t>
      </w:r>
    </w:p>
    <w:p>
      <w:pPr>
        <w:numPr>
          <w:ilvl w:val="0"/>
          <w:numId w:val="1002"/>
        </w:numPr>
        <w:pStyle w:val="Compact"/>
      </w:pPr>
      <w:r>
        <w:t xml:space="preserve">Данные пишутся в оба историана 2–4 недели.</w:t>
      </w:r>
    </w:p>
    <w:p>
      <w:pPr>
        <w:numPr>
          <w:ilvl w:val="0"/>
          <w:numId w:val="1002"/>
        </w:numPr>
        <w:pStyle w:val="Compact"/>
      </w:pPr>
      <w:r>
        <w:t xml:space="preserve">Диспетчеры обучаются на второй станции (Alpha.Imitator с реальными данными).</w:t>
      </w:r>
    </w:p>
    <w:p>
      <w:pPr>
        <w:numPr>
          <w:ilvl w:val="0"/>
          <w:numId w:val="1002"/>
        </w:numPr>
        <w:pStyle w:val="Compact"/>
      </w:pPr>
      <w:r>
        <w:t xml:space="preserve">Переключение после подтверждения корректности.</w:t>
      </w:r>
    </w:p>
    <w:p>
      <w:pPr>
        <w:pStyle w:val="FirstParagraph"/>
      </w:pPr>
      <w:r>
        <w:t xml:space="preserve">Подводный камень: некоторые старые RTU поддерживают ограниченное число TCP-соединений. Проверяйте спецификацию каждого RTU заранее.</w:t>
      </w:r>
    </w:p>
    <w:p>
      <w:pPr>
        <w:pStyle w:val="BodyText"/>
      </w:pPr>
      <w:r>
        <w:t xml:space="preserve">Для Modbus — сложнее: протокол не предусматривает двух Master на одной шине. Мы использовали OPC-сервер как промежуточный слой на переходный период.</w:t>
      </w:r>
    </w:p>
    <w:p>
      <w:pPr>
        <w:pStyle w:val="BodyText"/>
      </w:pPr>
      <w:r>
        <w:t xml:space="preserve">Развёртывание через CLI:</w:t>
      </w:r>
    </w:p>
    <w:p>
      <w:pPr>
        <w:pStyle w:val="SourceCode"/>
      </w:pPr>
      <w:r>
        <w:rPr>
          <w:rStyle w:val="ExtensionTok"/>
        </w:rPr>
        <w:t xml:space="preserve">devstudio.cli.exe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--solution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"Промысел.asln"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Release</w:t>
      </w:r>
      <w:r>
        <w:br/>
      </w:r>
      <w:r>
        <w:rPr>
          <w:rStyle w:val="ExtensionTok"/>
        </w:rPr>
        <w:t xml:space="preserve">devstudio.cli.exe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192.168.1.10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Release</w:t>
      </w:r>
      <w:r>
        <w:br/>
      </w:r>
      <w:r>
        <w:rPr>
          <w:rStyle w:val="ExtensionTok"/>
        </w:rPr>
        <w:t xml:space="preserve">devstudio.cli.exe</w:t>
      </w:r>
      <w:r>
        <w:rPr>
          <w:rStyle w:val="NormalTok"/>
        </w:rPr>
        <w:t xml:space="preserve"> deploy-commit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192.168.1.10</w:t>
      </w:r>
      <w:r>
        <w:br/>
      </w:r>
      <w:r>
        <w:rPr>
          <w:rStyle w:val="CommentTok"/>
        </w:rPr>
        <w:t xml:space="preserve"># Откат при проблемах:</w:t>
      </w:r>
      <w:r>
        <w:br/>
      </w:r>
      <w:r>
        <w:rPr>
          <w:rStyle w:val="ExtensionTok"/>
        </w:rPr>
        <w:t xml:space="preserve">devstudio.cli.exe</w:t>
      </w:r>
      <w:r>
        <w:rPr>
          <w:rStyle w:val="NormalTok"/>
        </w:rPr>
        <w:t xml:space="preserve"> deploy-rollback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192.168.1.10</w:t>
      </w:r>
    </w:p>
    <w:p>
      <w:r>
        <w:pict>
          <v:rect style="width:0;height:1.5pt" o:hralign="center" o:hrstd="t" o:hr="t"/>
        </w:pict>
      </w:r>
    </w:p>
    <w:bookmarkEnd w:id="38"/>
    <w:bookmarkStart w:id="39" w:name="linux-и-кии-два-зайца-одним-выстрелом"/>
    <w:p>
      <w:pPr>
        <w:pStyle w:val="Heading2"/>
      </w:pPr>
      <w:r>
        <w:t xml:space="preserve">Linux и КИИ: два зайца одним выстрелом</w:t>
      </w:r>
    </w:p>
    <w:p>
      <w:pPr>
        <w:pStyle w:val="FirstParagraph"/>
      </w:pPr>
      <w:r>
        <w:t xml:space="preserve">Нефтедобывающие объекты — КИИ по ФЗ-187. Переход на Альфа платформу позволяет одновременно решить две задачи импортозамещения: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SCADA</w:t>
      </w:r>
      <w:r>
        <w:t xml:space="preserve">: AVEVA → Альфа платформа (в реестре российского ПО)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ОС</w:t>
      </w:r>
      <w:r>
        <w:t xml:space="preserve">: Windows → Astra Linux / РЕД ОС / Альт</w:t>
      </w:r>
    </w:p>
    <w:p>
      <w:pPr>
        <w:pStyle w:val="FirstParagraph"/>
      </w:pPr>
      <w:r>
        <w:t xml:space="preserve">AVEVA на Linux не работает. Alpha.Server и Alpha.Historian — работают. Плюс отсутствие зависимости от COM/DCOM: Alpha.Link — чистый TCP, проще настраивать межсетевые экраны, нет DCOM-портов как вектора атаки.</w:t>
      </w:r>
    </w:p>
    <w:p>
      <w:r>
        <w:pict>
          <v:rect style="width:0;height:1.5pt" o:hralign="center" o:hrstd="t" o:hr="t"/>
        </w:pict>
      </w:r>
    </w:p>
    <w:bookmarkEnd w:id="39"/>
    <w:bookmarkStart w:id="40" w:name="сроки-и-команда"/>
    <w:p>
      <w:pPr>
        <w:pStyle w:val="Heading2"/>
      </w:pPr>
      <w:r>
        <w:t xml:space="preserve">Сроки и команда</w:t>
      </w:r>
    </w:p>
    <w:p>
      <w:pPr>
        <w:pStyle w:val="FirstParagraph"/>
      </w:pPr>
      <w:r>
        <w:t xml:space="preserve">Наша оценка для типового объекта (20 000 сигналов, 150 кустов, ДНС, УПН):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инженера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Проектирование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инженера + проектировщик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Мнемосхемы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HMI-разработчика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Historian +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инженер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инженера + тестировщик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Параллельная работа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инженер на объекте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5–7 месяцев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4–6 человек</w:t>
            </w:r>
          </w:p>
        </w:tc>
      </w:tr>
    </w:tbl>
    <w:p>
      <w:pPr>
        <w:pStyle w:val="BodyText"/>
      </w:pPr>
      <w:r>
        <w:t xml:space="preserve">Каждый следующий ДП мигрировал быстрее предыдущего — типовые решения из первого проекта тиражировались.</w:t>
      </w:r>
    </w:p>
    <w:p>
      <w:r>
        <w:pict>
          <v:rect style="width:0;height:1.5pt" o:hralign="center" o:hrstd="t" o:hr="t"/>
        </w:pict>
      </w:r>
    </w:p>
    <w:bookmarkEnd w:id="40"/>
    <w:bookmarkStart w:id="41" w:name="что-вынесли-из-опыта"/>
    <w:p>
      <w:pPr>
        <w:pStyle w:val="Heading2"/>
      </w:pPr>
      <w:r>
        <w:t xml:space="preserve">Что вынесли из опыта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Аудит — не формальность.</w:t>
      </w:r>
      <w:r>
        <w:t xml:space="preserve"> </w:t>
      </w:r>
      <w:r>
        <w:t xml:space="preserve">2–3 недели на инвентаризацию экономят месяцы.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Типизация — главный ускоритель.</w:t>
      </w:r>
      <w:r>
        <w:t xml:space="preserve"> </w:t>
      </w:r>
      <w:r>
        <w:t xml:space="preserve">Один тип «Кустовая площадка» на 200 экземпляров.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 копировать, а проектировать.</w:t>
      </w:r>
      <w:r>
        <w:t xml:space="preserve"> </w:t>
      </w:r>
      <w:r>
        <w:t xml:space="preserve">Миграция — шанс упростить архитектуру.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Параллельная работа обязательна.</w:t>
      </w:r>
      <w:r>
        <w:t xml:space="preserve"> </w:t>
      </w:r>
      <w:r>
        <w:t xml:space="preserve">IEC 104 позволяет два Master — используйте.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Начинайте с пилота.</w:t>
      </w:r>
      <w:r>
        <w:t xml:space="preserve"> </w:t>
      </w:r>
      <w:r>
        <w:t xml:space="preserve">Один ДП (10–20 кустов), полный цикл, потом тиражирование.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рассматриваете миграцию с AVEVA или другой западной SCADA — готовы рассказать подробнее о нашем опыте и помочь с оценкой вашего объекта. Пишите — обсудим.</w:t>
      </w:r>
    </w:p>
    <w:p>
      <w:r>
        <w:pict>
          <v:rect style="width:0;height:1.5pt" o:hralign="center" o:hrstd="t" o:hr="t"/>
        </w:pict>
      </w:r>
    </w:p>
    <w:bookmarkEnd w:id="41"/>
    <w:bookmarkStart w:id="42" w:name="ссылки"/>
    <w:p>
      <w:pPr>
        <w:pStyle w:val="Heading2"/>
      </w:pPr>
      <w:r>
        <w:t xml:space="preserve">Ссылки</w:t>
      </w:r>
    </w:p>
    <w:p>
      <w:pPr>
        <w:numPr>
          <w:ilvl w:val="0"/>
          <w:numId w:val="1005"/>
        </w:numPr>
        <w:pStyle w:val="Compact"/>
      </w:pPr>
      <w:r>
        <w:t xml:space="preserve">Альфа платформа — automiq.ru</w:t>
      </w:r>
    </w:p>
    <w:p>
      <w:pPr>
        <w:numPr>
          <w:ilvl w:val="0"/>
          <w:numId w:val="1005"/>
        </w:numPr>
        <w:pStyle w:val="Compact"/>
      </w:pPr>
      <w:r>
        <w:t xml:space="preserve">К. Силкин. Альфа платформа: обзор архитектуры и возможностей использования // Control Engineering Россия, №1(100), 2023</w:t>
      </w:r>
    </w:p>
    <w:p>
      <w:pPr>
        <w:numPr>
          <w:ilvl w:val="0"/>
          <w:numId w:val="1005"/>
        </w:numPr>
        <w:pStyle w:val="Compact"/>
      </w:pPr>
      <w:r>
        <w:t xml:space="preserve">Д. Ракитин, Е. Вертопрахова. Среда исполнения Альфа платформы: новые механизмы и модель резервирования // CE Россия, №1-2(105), 2024</w:t>
      </w:r>
    </w:p>
    <w:p>
      <w:pPr>
        <w:numPr>
          <w:ilvl w:val="0"/>
          <w:numId w:val="1005"/>
        </w:numPr>
        <w:pStyle w:val="Compact"/>
      </w:pPr>
      <w:r>
        <w:t xml:space="preserve">IEC 60870-5-104:2006 — Telecontrol equipment and systems</w:t>
      </w:r>
    </w:p>
    <w:p>
      <w:pPr>
        <w:numPr>
          <w:ilvl w:val="0"/>
          <w:numId w:val="1005"/>
        </w:numPr>
        <w:pStyle w:val="Compact"/>
      </w:pPr>
      <w:r>
        <w:t xml:space="preserve">ФЗ-187 «О безопасности критической информационной инфраструктуры РФ»</w:t>
      </w:r>
    </w:p>
    <w:p>
      <w:pPr>
        <w:pStyle w:val="FirstParagraph"/>
      </w:pPr>
      <w:r>
        <w:rPr>
          <w:iCs/>
          <w:i/>
        </w:rPr>
        <w:t xml:space="preserve">Альфа платформа — продукт АО «Атомик Софт», входит в Единый реестр российского ПО.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2026-03-24T12:17:58Z</dcterms:created>
  <dcterms:modified xsi:type="dcterms:W3CDTF">2026-03-24T12:17:58Z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