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Аналитика по артикулам из таблицы компонентов</w:t>
      </w:r>
    </w:p>
    <w:p>
      <w:pPr>
        <w:jc w:val="center"/>
      </w:pPr>
      <w:r>
        <w:rPr>
          <w:i/>
          <w:sz w:val="22"/>
        </w:rPr>
        <w:t>Переработанная версия на основе полного архива изменений</w:t>
      </w:r>
    </w:p>
    <w:p/>
    <w:p>
      <w:pPr>
        <w:pStyle w:val="Heading1"/>
      </w:pPr>
      <w:r>
        <w:t>Аналитика по артикулам из таблицы компонентов</w:t>
      </w:r>
    </w:p>
    <w:p>
      <w:r>
        <w:rPr>
          <w:b/>
        </w:rPr>
        <w:t>Переработанная версия на основе полного архива изменений</w:t>
      </w:r>
    </w:p>
    <w:p>
      <w:pPr>
        <w:pStyle w:val="Heading2"/>
      </w:pPr>
      <w:r>
        <w:t>Цель документа</w:t>
      </w:r>
    </w:p>
    <w:p>
      <w:r>
        <w:t>Для каждого артикула из исходной таблицы показать:</w:t>
      </w:r>
    </w:p>
    <w:p>
      <w:r>
        <w:t xml:space="preserve">1. базовый функционал компонентов, входящих в состав решения, </w:t>
      </w:r>
      <w:r>
        <w:rPr>
          <w:b/>
        </w:rPr>
        <w:t>до 2024 года</w:t>
      </w:r>
      <w:r>
        <w:t>;</w:t>
      </w:r>
    </w:p>
    <w:p>
      <w:r>
        <w:t xml:space="preserve">2. развитие функционала и новые возможности, появившиеся </w:t>
      </w:r>
      <w:r>
        <w:rPr>
          <w:b/>
        </w:rPr>
        <w:t>в 2024–2026 гг.</w:t>
      </w:r>
    </w:p>
    <w:p>
      <w:pPr>
        <w:pStyle w:val="Heading2"/>
      </w:pPr>
      <w:r>
        <w:t>Источники</w:t>
      </w:r>
    </w:p>
    <w:p>
      <w:pPr>
        <w:pStyle w:val="ListBullet"/>
        <w:ind w:left="0"/>
      </w:pPr>
      <w:r>
        <w:t>исходная таблица артикулов и компонентов;</w:t>
      </w:r>
    </w:p>
    <w:p>
      <w:pPr>
        <w:pStyle w:val="ListBullet"/>
        <w:ind w:left="0"/>
      </w:pPr>
      <w:r>
        <w:t>аудит `Alpha.Server / Alpha.Historian` за 2021–2026;</w:t>
      </w:r>
    </w:p>
    <w:p>
      <w:pPr>
        <w:pStyle w:val="ListBullet"/>
        <w:ind w:left="0"/>
      </w:pPr>
      <w:r>
        <w:t>архив release notes / email-рассылок по компонентам платформы;</w:t>
      </w:r>
    </w:p>
    <w:p>
      <w:pPr>
        <w:pStyle w:val="ListBullet"/>
        <w:ind w:left="0"/>
      </w:pPr>
      <w:r>
        <w:t>локальные конспекты модулей Alpha Platform.</w:t>
      </w:r>
    </w:p>
    <w:p>
      <w:pPr>
        <w:pStyle w:val="Heading2"/>
      </w:pPr>
      <w:r>
        <w:t>Важное замечание по структуре</w:t>
      </w:r>
    </w:p>
    <w:p>
      <w:r>
        <w:t xml:space="preserve">В этой редакции оставлены </w:t>
      </w:r>
      <w:r>
        <w:rPr>
          <w:b/>
        </w:rPr>
        <w:t>только те компоненты, по которым в материалах удалось зафиксировать содержательные изменения</w:t>
      </w:r>
      <w:r>
        <w:t>.</w:t>
      </w:r>
    </w:p>
    <w:p>
      <w:r>
        <w:t>Это значит:</w:t>
      </w:r>
    </w:p>
    <w:p>
      <w:pPr>
        <w:pStyle w:val="ListBullet"/>
        <w:ind w:left="0"/>
      </w:pPr>
      <w:r>
        <w:t>компоненты без явного changelog не перечисляются отдельно;</w:t>
      </w:r>
    </w:p>
    <w:p>
      <w:pPr>
        <w:pStyle w:val="ListBullet"/>
        <w:ind w:left="0"/>
      </w:pPr>
      <w:r>
        <w:t>документ стал короче, но точнее;</w:t>
      </w:r>
    </w:p>
    <w:p>
      <w:pPr>
        <w:pStyle w:val="ListBullet"/>
        <w:ind w:left="0"/>
      </w:pPr>
      <w:r>
        <w:t>акцент смещён на те элементы, которые действительно добавляли новую ценность артикулу в 2024–2026 гг.</w:t>
      </w:r>
    </w:p>
    <w:p>
      <w:pPr>
        <w:pStyle w:val="Heading2"/>
      </w:pPr>
      <w:r>
        <w:t>Нормализация терминов</w:t>
      </w:r>
    </w:p>
    <w:p>
      <w:r>
        <w:t>В исходной таблице используются старые и внутренние имена. В документе они интерпретируются так:</w:t>
      </w:r>
    </w:p>
    <w:p>
      <w:pPr>
        <w:pStyle w:val="ListBullet"/>
        <w:ind w:left="0"/>
      </w:pPr>
      <w:r>
        <w:t>`Server`, `Server.Core` → **Alpha.Server**</w:t>
      </w:r>
    </w:p>
    <w:p>
      <w:pPr>
        <w:pStyle w:val="ListBullet"/>
        <w:ind w:left="0"/>
      </w:pPr>
      <w:r>
        <w:t>`Historian`, `History.H` → **Alpha.Historian**</w:t>
      </w:r>
    </w:p>
    <w:p>
      <w:pPr>
        <w:pStyle w:val="ListBullet"/>
        <w:ind w:left="0"/>
      </w:pPr>
      <w:r>
        <w:t>`History.SQL` → SQL-хранилища / модуль истории Alpha.Server</w:t>
      </w:r>
    </w:p>
    <w:p>
      <w:pPr>
        <w:pStyle w:val="ListBullet"/>
        <w:ind w:left="0"/>
      </w:pPr>
      <w:r>
        <w:t>`DevStudio`, `Developer.Studio` → **Alpha.DevStudio**</w:t>
      </w:r>
    </w:p>
    <w:p>
      <w:pPr>
        <w:pStyle w:val="ListBullet"/>
        <w:ind w:left="0"/>
      </w:pPr>
      <w:r>
        <w:t>`WebViewer`, `HMI-WebViewer` → **Alpha.HMI.WebViewer**</w:t>
      </w:r>
    </w:p>
    <w:p>
      <w:pPr>
        <w:pStyle w:val="ListBullet"/>
        <w:ind w:left="0"/>
      </w:pPr>
      <w:r>
        <w:t>`HMI.Alarms`, `Alarms` → **Alpha.HMI.Alarms**</w:t>
      </w:r>
    </w:p>
    <w:p>
      <w:pPr>
        <w:pStyle w:val="ListBullet"/>
        <w:ind w:left="0"/>
      </w:pPr>
      <w:r>
        <w:t>`HMI.Trends`, `Trends` → исторический трендовый контур Alpha.HMI; в актуальной линейке графический функционал частично смещён в **Alpha.HMI.Charts** / встроенные графики Alpha.HMI</w:t>
      </w:r>
    </w:p>
    <w:p>
      <w:pPr>
        <w:pStyle w:val="ListBullet"/>
        <w:ind w:left="0"/>
      </w:pPr>
      <w:r>
        <w:t>`RMap` → **Alpha.RMap**</w:t>
      </w:r>
    </w:p>
    <w:p>
      <w:r>
        <w:t>---</w:t>
      </w:r>
    </w:p>
    <w:p>
      <w:pPr>
        <w:pStyle w:val="Heading1"/>
      </w:pPr>
      <w:r>
        <w:t>1. Артикулы одиночно стоящего АРМ</w:t>
      </w:r>
    </w:p>
    <w:p>
      <w:r>
        <w:t>Артикулы:</w:t>
      </w:r>
    </w:p>
    <w:p>
      <w:pPr>
        <w:pStyle w:val="ListBullet"/>
        <w:ind w:left="0"/>
      </w:pPr>
      <w:r>
        <w:t>`TN-CPA-ARM-5K`</w:t>
      </w:r>
    </w:p>
    <w:p>
      <w:pPr>
        <w:pStyle w:val="ListBullet"/>
        <w:ind w:left="0"/>
      </w:pPr>
      <w:r>
        <w:t>`TN-CPA-ARM-10K`</w:t>
      </w:r>
    </w:p>
    <w:p>
      <w:pPr>
        <w:pStyle w:val="ListBullet"/>
        <w:ind w:left="0"/>
      </w:pPr>
      <w:r>
        <w:t>`TN-CPA-ARM-25K`</w:t>
      </w:r>
    </w:p>
    <w:p>
      <w:pPr>
        <w:pStyle w:val="Heading2"/>
      </w:pPr>
      <w:r>
        <w:t>1.1. Общий вывод по семейству ARM</w:t>
      </w:r>
    </w:p>
    <w:p>
      <w:r>
        <w:t>Три ARM-артикула имеют близкий функциональный состав. Их главное отличие — лицензируемая ёмкость ядра:</w:t>
      </w:r>
    </w:p>
    <w:p>
      <w:pPr>
        <w:pStyle w:val="ListBullet"/>
        <w:ind w:left="0"/>
      </w:pPr>
      <w:r>
        <w:t>`TN-CPA-ARM-5K` → `Server.Core 5000`</w:t>
      </w:r>
    </w:p>
    <w:p>
      <w:pPr>
        <w:pStyle w:val="ListBullet"/>
        <w:ind w:left="0"/>
      </w:pPr>
      <w:r>
        <w:t>`TN-CPA-ARM-10K` → `Server.Core 10000`</w:t>
      </w:r>
    </w:p>
    <w:p>
      <w:pPr>
        <w:pStyle w:val="ListBullet"/>
        <w:ind w:left="0"/>
      </w:pPr>
      <w:r>
        <w:t>`TN-CPA-ARM-25K` → `Server.Core 25000`</w:t>
      </w:r>
    </w:p>
    <w:p>
      <w:r>
        <w:t>Следовательно:</w:t>
      </w:r>
    </w:p>
    <w:p>
      <w:pPr>
        <w:pStyle w:val="ListBullet"/>
        <w:ind w:left="0"/>
      </w:pPr>
      <w:r>
        <w:t>**функциональный контур** у решений практически общий;</w:t>
      </w:r>
    </w:p>
    <w:p>
      <w:pPr>
        <w:pStyle w:val="ListBullet"/>
        <w:ind w:left="0"/>
      </w:pPr>
      <w:r>
        <w:t>**масштаб внедрения** определяется серверной лицензией и числом обслуживаемых тегов.</w:t>
      </w:r>
    </w:p>
    <w:p>
      <w:r>
        <w:t>---</w:t>
      </w:r>
    </w:p>
    <w:p>
      <w:pPr>
        <w:pStyle w:val="Heading2"/>
      </w:pPr>
      <w:r>
        <w:t>1.2. Программные компоненты ARM с зафиксированным развитием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t>Компонент</w:t>
            </w:r>
          </w:p>
        </w:tc>
        <w:tc>
          <w:tcPr>
            <w:tcW w:type="dxa" w:w="3249"/>
            <w:shd w:fill="D9EAF7"/>
          </w:tcPr>
          <w:p>
            <w:r>
              <w:t>Функционал до 2024 года</w:t>
            </w:r>
          </w:p>
        </w:tc>
        <w:tc>
          <w:tcPr>
            <w:tcW w:type="dxa" w:w="3249"/>
            <w:shd w:fill="D9EAF7"/>
          </w:tcPr>
          <w:p>
            <w:r>
              <w:t>Что добавилось / изменилось в 2024–2026</w:t>
            </w:r>
          </w:p>
        </w:tc>
      </w:tr>
      <w:tr>
        <w:tc>
          <w:tcPr>
            <w:tcW w:type="dxa" w:w="3249"/>
          </w:tcPr>
          <w:p>
            <w:r>
              <w:t>`Server`</w:t>
            </w:r>
          </w:p>
        </w:tc>
        <w:tc>
          <w:tcPr>
            <w:tcW w:type="dxa" w:w="3249"/>
          </w:tcPr>
          <w:p>
            <w:r>
              <w:t>Серверное ядро: сбор и обработка данных, вычисления, события, резервирование, коммуникации, обмен с HMI и Historian.</w:t>
            </w:r>
          </w:p>
        </w:tc>
        <w:tc>
          <w:tcPr>
            <w:tcW w:type="dxa" w:w="3249"/>
          </w:tcPr>
          <w:p>
            <w:r>
              <w:t>Самый активно развивавшийся компонент. В 2024–2026 появились и усилились: `Syslog Client`, развитие BACnet, разворот инициации соединения `TCP Server ↔ HUB`, улучшение буферизации и транзакционной модели, новый механизм фильтрации значений, согласование конфигураций резервной пары, аутентификация TCP/HUB, универсальный модуль `IEC-104`, `MDLC Client`, новые режимы резервирования, улучшенная диагностика каналов и устройств.</w:t>
            </w:r>
          </w:p>
        </w:tc>
      </w:tr>
      <w:tr>
        <w:tc>
          <w:tcPr>
            <w:tcW w:type="dxa" w:w="3249"/>
          </w:tcPr>
          <w:p>
            <w:r>
              <w:t>`HMI`</w:t>
            </w:r>
          </w:p>
        </w:tc>
        <w:tc>
          <w:tcPr>
            <w:tcW w:type="dxa" w:w="3249"/>
          </w:tcPr>
          <w:p>
            <w:r>
              <w:t>Среда визуализации и исполнения мнемосхем: формы, графические элементы, скрипты, работа с источниками данных, переходы, контрольные значения, редактор и runtime.</w:t>
            </w:r>
          </w:p>
        </w:tc>
        <w:tc>
          <w:tcPr>
            <w:tcW w:type="dxa" w:w="3249"/>
          </w:tcPr>
          <w:p>
            <w:r>
              <w:t>В 2024 по архиву писем усилился пользовательский и инженерный контур: добавлены системные принтеры и печать, расширены переходы и навигация по проекту, поддержаны `TypeConvert.ToXBitwise`, `Math.Random`, очередь чтения в дереве, произвольные иконки в дереве, новые сценарии быстрого перехода к определениям/значениям, поддержка climb-переходов (`@`/`$`), улучшено редактирование линий и работа с layout.</w:t>
            </w:r>
          </w:p>
        </w:tc>
      </w:tr>
      <w:tr>
        <w:tc>
          <w:tcPr>
            <w:tcW w:type="dxa" w:w="3249"/>
          </w:tcPr>
          <w:p>
            <w:r>
              <w:t>`HMI-WebViewer`</w:t>
            </w:r>
          </w:p>
        </w:tc>
        <w:tc>
          <w:tcPr>
            <w:tcW w:type="dxa" w:w="3249"/>
          </w:tcPr>
          <w:p>
            <w:r>
              <w:t>Веб-доступ к HMI-проектам через браузер, WebSocket, SSL, прокси, параметры запуска через URL.</w:t>
            </w:r>
          </w:p>
        </w:tc>
        <w:tc>
          <w:tcPr>
            <w:tcW w:type="dxa" w:w="3249"/>
          </w:tcPr>
          <w:p>
            <w:r>
              <w:t>В 2024–2025 расширены способы взаимодействия с веб-приложением через URL, добавлена настройка цвета фона дерева, навигация по дереву с клавиатуры, улучшено canvas-отображение, для координат и размеров введены вещественные значения, уменьшено потребление памяти путём выгрузки исходного проекта после компиляции. Параллельно исправлялись сбои печати, масштабирования, закрытия форм, позиционирования, работы дерева и фреймов.</w:t>
            </w:r>
          </w:p>
        </w:tc>
      </w:tr>
      <w:tr>
        <w:tc>
          <w:tcPr>
            <w:tcW w:type="dxa" w:w="3249"/>
          </w:tcPr>
          <w:p>
            <w:r>
              <w:t>`HMI.Alarms`</w:t>
            </w:r>
          </w:p>
        </w:tc>
        <w:tc>
          <w:tcPr>
            <w:tcW w:type="dxa" w:w="3249"/>
          </w:tcPr>
          <w:p>
            <w:r>
              <w:t>Просмотр оперативных и исторических тревог, фильтрация, квитирование, экспорт, печать, цветовая и звуковая индикация.</w:t>
            </w:r>
          </w:p>
        </w:tc>
        <w:tc>
          <w:tcPr>
            <w:tcW w:type="dxa" w:w="3249"/>
          </w:tcPr>
          <w:p>
            <w:r>
              <w:t>До 2024 модуль уже получил настройку темы, фильтрацию при вводе, комбинирование стилей шрифта, увеличенный лимит сообщений, печать/экспорт в PDF и работу со светлой/тёмной темой. В 2024 добавлены цвета панели инструментов и контекстного меню через тему, флаг отключения обязательного `default.wav`, улучшена печать и фильтрация, исправлены проблемы пользовательских столбцов, запроса истории, сортировки, скролла и работы в Linux. Косвенно контур усиливался доработками `OPC AE Server` и обработкой событий в Alpha.Server.</w:t>
            </w:r>
          </w:p>
        </w:tc>
      </w:tr>
      <w:tr>
        <w:tc>
          <w:tcPr>
            <w:tcW w:type="dxa" w:w="3249"/>
          </w:tcPr>
          <w:p>
            <w:r>
              <w:t>`HMI.Trends`</w:t>
            </w:r>
          </w:p>
        </w:tc>
        <w:tc>
          <w:tcPr>
            <w:tcW w:type="dxa" w:w="3249"/>
          </w:tcPr>
          <w:p>
            <w:r>
              <w:t>Просмотр исторических и оперативных трендов, экспорт и печать данных, работа с деревом сигналов и списками графиков.</w:t>
            </w:r>
          </w:p>
        </w:tc>
        <w:tc>
          <w:tcPr>
            <w:tcW w:type="dxa" w:w="3249"/>
          </w:tcPr>
          <w:p>
            <w:r>
              <w:t>К концу 2023 добавлены: подключение к произвольному серверу при запуске, тип `Trends_Indicator` для компактных трендов на мнемосхеме, колонтитулы для печати и экспорта, ограничения прав на печать/экспорт, получение текста ошибки экспорта, применение нижнего и верхнего диапазона значений к графикам. В 2024 отдельного большого релиза не было, но связанный контур улучшался через `Alpha.HMI.Charts`, `Alpha.HMI.WebViewer` и серверные исправления истории/границ запросов.</w:t>
            </w:r>
          </w:p>
        </w:tc>
      </w:tr>
      <w:tr>
        <w:tc>
          <w:tcPr>
            <w:tcW w:type="dxa" w:w="3249"/>
          </w:tcPr>
          <w:p>
            <w:r>
              <w:t>`HMI.Charts`</w:t>
            </w:r>
          </w:p>
        </w:tc>
        <w:tc>
          <w:tcPr>
            <w:tcW w:type="dxa" w:w="3249"/>
          </w:tcPr>
          <w:p>
            <w:r>
              <w:t>Графический контур оперативных и исторических графиков, работа с полем графика, линиями, репером, минитрендами, таблицей данных.</w:t>
            </w:r>
          </w:p>
        </w:tc>
        <w:tc>
          <w:tcPr>
            <w:tcW w:type="dxa" w:w="3249"/>
          </w:tcPr>
          <w:p>
            <w:r>
              <w:t>В релизах конца 2023 перед 2024 добавлены: `LoadExtended`, `GetDescriptionByCode`, событие `LoadFinished`, управление размещением метки репера, разрешение/запрет перетаскивания выносок репера, линейный пересчёт данных линии через `Ratio` и `Offset`. Также улучшены единицы измерения и шкалы, исправлены ошибки таблицы данных, CSV-загрузки, автомасштабирования, минитрендов и WebViewer-режима. В 2024–2025 графический контур дополнительно усиливался серверными и WebViewer-доработками.</w:t>
            </w:r>
          </w:p>
        </w:tc>
      </w:tr>
      <w:tr>
        <w:tc>
          <w:tcPr>
            <w:tcW w:type="dxa" w:w="3249"/>
          </w:tcPr>
          <w:p>
            <w:r>
              <w:t>`HMI.Tables`</w:t>
            </w:r>
          </w:p>
        </w:tc>
        <w:tc>
          <w:tcPr>
            <w:tcW w:type="dxa" w:w="3249"/>
          </w:tcPr>
          <w:p>
            <w:r>
              <w:t>Табличное представление данных, модели данных, таблицы среза, заголовки, экспорт в PDF и интеграция с алармами/уставками.</w:t>
            </w:r>
          </w:p>
        </w:tc>
        <w:tc>
          <w:tcPr>
            <w:tcW w:type="dxa" w:w="3249"/>
          </w:tcPr>
          <w:p>
            <w:r>
              <w:t>В 2024 зафиксированы исправления и стабилизация: корректное выравнивание заголовков, правильная отрисовка при изменении ширины столбца, устранение аварийного завершения `Alpha.HMI.WebViewer` после версии 2.0.7, устранение сбоя при вызове контекстного меню модели данных, ускорение `Alpha.HMI.SetPoints`, исправление смещения выделенной строки в `Alpha.HMI.Alarms`, устранение зависания при экспорте больших PDF из таблиц среза.</w:t>
            </w:r>
          </w:p>
        </w:tc>
      </w:tr>
      <w:tr>
        <w:tc>
          <w:tcPr>
            <w:tcW w:type="dxa" w:w="3249"/>
          </w:tcPr>
          <w:p>
            <w:r>
              <w:t>`HMI.CommonLib`</w:t>
            </w:r>
          </w:p>
        </w:tc>
        <w:tc>
          <w:tcPr>
            <w:tcW w:type="dxa" w:w="3249"/>
          </w:tcPr>
          <w:p>
            <w:r>
              <w:t>Общая библиотека HMI-компонентов и вспомогательных типов.</w:t>
            </w:r>
          </w:p>
        </w:tc>
        <w:tc>
          <w:tcPr>
            <w:tcW w:type="dxa" w:w="3249"/>
          </w:tcPr>
          <w:p>
            <w:r>
              <w:t>На рубеже 2023–2024 расширены базовые возможности: добавлены компоненты `Обработчик события`, `Редактор колонтитула`, `Текстовые шаблоны`, горизонтальный и вертикальный сплиттеры; расширены возможности тем оформления для панели инструментов и меню; для дерева сигналов добавлены функции `Find()` и `CancelFind()`, для редактора интервала времени — событие `pShiftCompleted`; улучшена работа на сенсорных панелях и исправлены ошибки дерева и файловых диалогов.</w:t>
            </w:r>
          </w:p>
        </w:tc>
      </w:tr>
      <w:tr>
        <w:tc>
          <w:tcPr>
            <w:tcW w:type="dxa" w:w="3249"/>
          </w:tcPr>
          <w:p>
            <w:r>
              <w:t>`Domain`</w:t>
            </w:r>
          </w:p>
        </w:tc>
        <w:tc>
          <w:tcPr>
            <w:tcW w:type="dxa" w:w="3249"/>
          </w:tcPr>
          <w:p>
            <w:r>
              <w:t>Инфраструктурная подсистема, объединяющая компоненты в домен исполнения.</w:t>
            </w:r>
          </w:p>
        </w:tc>
        <w:tc>
          <w:tcPr>
            <w:tcW w:type="dxa" w:w="3249"/>
          </w:tcPr>
          <w:p>
            <w:r>
              <w:t>Через `Alpha.DevStudio` и связанные релизы в 2024 усилился контур доменной сборки и развёртывания: жёстче контролируются имена узлов, улучшено формирование корректных конфигураций, а номер развёртывания стал определяться уже на этапе компиляции.</w:t>
            </w:r>
          </w:p>
        </w:tc>
      </w:tr>
      <w:tr>
        <w:tc>
          <w:tcPr>
            <w:tcW w:type="dxa" w:w="3249"/>
          </w:tcPr>
          <w:p>
            <w:r>
              <w:t>`DevStudio`</w:t>
            </w:r>
          </w:p>
        </w:tc>
        <w:tc>
          <w:tcPr>
            <w:tcW w:type="dxa" w:w="3249"/>
          </w:tcPr>
          <w:p>
            <w:r>
              <w:t>Инженерная среда проектирования, компиляции, публикации и развёртывания.</w:t>
            </w:r>
          </w:p>
        </w:tc>
        <w:tc>
          <w:tcPr>
            <w:tcW w:type="dxa" w:w="3249"/>
          </w:tcPr>
          <w:p>
            <w:r>
              <w:t>В 2024 линия развития стала значительно богаче: CLI-публикация модулей, компиляция/сборка отдельных проектов через `--project`, динамическое раскрытие ссылок через `UA Client`, пользовательские атрибуты событий, вычисляемая важность событий, отключаемые проверки построения, отображение номера развёртывания уже после компиляции, поддержка `RTU over TCP` для IEC-101 и Modbus TCP Master, развитие SQL Connector, BACnet, SnapShot, SMTP, UNET, возможность задавать диапазоны значений для графиков, выбор сокетов для дерева `HMI.Trends`, новый сценарий самостоятельного подключения `TCP Server` к потребителям.</w:t>
            </w:r>
          </w:p>
        </w:tc>
      </w:tr>
    </w:tbl>
    <w:p/>
    <w:p>
      <w:r>
        <w:t>---</w:t>
      </w:r>
    </w:p>
    <w:p>
      <w:pPr>
        <w:pStyle w:val="Heading2"/>
      </w:pPr>
      <w:r>
        <w:t>1.3. Лицензионные и серверные компоненты ARM с зафиксированным развитием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t>Компонент</w:t>
            </w:r>
          </w:p>
        </w:tc>
        <w:tc>
          <w:tcPr>
            <w:tcW w:type="dxa" w:w="3249"/>
            <w:shd w:fill="D9EAF7"/>
          </w:tcPr>
          <w:p>
            <w:r>
              <w:t>Функционал до 2024 года</w:t>
            </w:r>
          </w:p>
        </w:tc>
        <w:tc>
          <w:tcPr>
            <w:tcW w:type="dxa" w:w="3249"/>
            <w:shd w:fill="D9EAF7"/>
          </w:tcPr>
          <w:p>
            <w:r>
              <w:t>Что добавилось / изменилось в 2024–2026</w:t>
            </w:r>
          </w:p>
        </w:tc>
      </w:tr>
      <w:tr>
        <w:tc>
          <w:tcPr>
            <w:tcW w:type="dxa" w:w="3249"/>
          </w:tcPr>
          <w:p>
            <w:r>
              <w:t>`Alarms` / `AE Server wo OPC` / `OPC AE Server`</w:t>
            </w:r>
          </w:p>
        </w:tc>
        <w:tc>
          <w:tcPr>
            <w:tcW w:type="dxa" w:w="3249"/>
          </w:tcPr>
          <w:p>
            <w:r>
              <w:t>Генерация, агрегация, квитирование, подавление и выдача событий/аварий клиентам.</w:t>
            </w:r>
          </w:p>
        </w:tc>
        <w:tc>
          <w:tcPr>
            <w:tcW w:type="dxa" w:w="3249"/>
          </w:tcPr>
          <w:p>
            <w:r>
              <w:t>В 2024–2026 продолжилось активное развитие тревожного контура: улучшены OAT и агрегаторы, добавлены пользовательские атрибуты, задержка генерации события, улучшена работа подавления и блокировки, исправлены ошибки квитирования, корректности зон и вывода в `Alpha.HMI.Alarms`.</w:t>
            </w:r>
          </w:p>
        </w:tc>
      </w:tr>
      <w:tr>
        <w:tc>
          <w:tcPr>
            <w:tcW w:type="dxa" w:w="3249"/>
          </w:tcPr>
          <w:p>
            <w:r>
              <w:t>`HUB`</w:t>
            </w:r>
          </w:p>
        </w:tc>
        <w:tc>
          <w:tcPr>
            <w:tcW w:type="dxa" w:w="3249"/>
          </w:tcPr>
          <w:p>
            <w:r>
              <w:t>Концентрация и маршрутизация данных, обмен между источниками и потребителями, взаимодействие с TCP.</w:t>
            </w:r>
          </w:p>
        </w:tc>
        <w:tc>
          <w:tcPr>
            <w:tcW w:type="dxa" w:w="3249"/>
          </w:tcPr>
          <w:p>
            <w:r>
              <w:t>В 2024–2025 HUB получил заметное развитие: `TCP Server` теперь может сам инициировать соединение с потребителем, появились идентификаторы клиентов, улучшена работа в резерве, диагностика каналов, чтение буфера, аутентификация по паролю, корректная работа с подписками и данными AccessPoint.</w:t>
            </w:r>
          </w:p>
        </w:tc>
      </w:tr>
      <w:tr>
        <w:tc>
          <w:tcPr>
            <w:tcW w:type="dxa" w:w="3249"/>
          </w:tcPr>
          <w:p>
            <w:r>
              <w:t>`History.H`</w:t>
            </w:r>
          </w:p>
        </w:tc>
        <w:tc>
          <w:tcPr>
            <w:tcW w:type="dxa" w:w="3249"/>
          </w:tcPr>
          <w:p>
            <w:r>
              <w:t>История в собственном формате Alpha.Historian.</w:t>
            </w:r>
          </w:p>
        </w:tc>
        <w:tc>
          <w:tcPr>
            <w:tcW w:type="dxa" w:w="3249"/>
          </w:tcPr>
          <w:p>
            <w:r>
              <w:t>В 2024 основной скачок обеспечен переходом на `Alpha.Historian 4.0`: новый формат БД 4x, запись с любой меткой времени, более быстрый запуск, снижение накладных расходов памяти и диска, мониторинг и CLI. В 2026 добавлен контроль допустимого отклонения временных меток.</w:t>
            </w:r>
          </w:p>
        </w:tc>
      </w:tr>
      <w:tr>
        <w:tc>
          <w:tcPr>
            <w:tcW w:type="dxa" w:w="3249"/>
          </w:tcPr>
          <w:p>
            <w:r>
              <w:t>`History.SQL`</w:t>
            </w:r>
          </w:p>
        </w:tc>
        <w:tc>
          <w:tcPr>
            <w:tcW w:type="dxa" w:w="3249"/>
          </w:tcPr>
          <w:p>
            <w:r>
              <w:t>Хранение и чтение истории через PostgreSQL / MS SQL и модуль истории Alpha.Server.</w:t>
            </w:r>
          </w:p>
        </w:tc>
        <w:tc>
          <w:tcPr>
            <w:tcW w:type="dxa" w:w="3249"/>
          </w:tcPr>
          <w:p>
            <w:r>
              <w:t>В 2024–2026 улучшались стабильность и производительность истории: исправлялись ошибки чтения из PostgreSQL и выдачи граничных значений, дорабатывались очереди, статистика и SQL-скрипты. Это прямо повышало качество работы трендов и HMI-клиентов.</w:t>
            </w:r>
          </w:p>
        </w:tc>
      </w:tr>
      <w:tr>
        <w:tc>
          <w:tcPr>
            <w:tcW w:type="dxa" w:w="3249"/>
          </w:tcPr>
          <w:p>
            <w:r>
              <w:t>`IEC 101 Master`</w:t>
            </w:r>
          </w:p>
        </w:tc>
        <w:tc>
          <w:tcPr>
            <w:tcW w:type="dxa" w:w="3249"/>
          </w:tcPr>
          <w:p>
            <w:r>
              <w:t>Обмен по IEC 60870-5-101 в режиме master.</w:t>
            </w:r>
          </w:p>
        </w:tc>
        <w:tc>
          <w:tcPr>
            <w:tcW w:type="dxa" w:w="3249"/>
          </w:tcPr>
          <w:p>
            <w:r>
              <w:t>В 2025–2026 появились служебный сигнал `Connected`, отправка синхронизации времени при установлении связи, поддержка разных размеров полей ASDU, адресации станций больше 255 и широковещательных адресов 255 / 65535.</w:t>
            </w:r>
          </w:p>
        </w:tc>
      </w:tr>
      <w:tr>
        <w:tc>
          <w:tcPr>
            <w:tcW w:type="dxa" w:w="3249"/>
          </w:tcPr>
          <w:p>
            <w:r>
              <w:t>`IEC 101 Slave`</w:t>
            </w:r>
          </w:p>
        </w:tc>
        <w:tc>
          <w:tcPr>
            <w:tcW w:type="dxa" w:w="3249"/>
          </w:tcPr>
          <w:p>
            <w:r>
              <w:t>Обмен по IEC 60870-5-101 в режиме slave.</w:t>
            </w:r>
          </w:p>
        </w:tc>
        <w:tc>
          <w:tcPr>
            <w:tcW w:type="dxa" w:w="3249"/>
          </w:tcPr>
          <w:p>
            <w:r>
              <w:t>В 2026 устранены периодические разрывы связи на части Linux-систем; дополнительно улучшались связанные инженерные настройки через DevStudio.</w:t>
            </w:r>
          </w:p>
        </w:tc>
      </w:tr>
      <w:tr>
        <w:tc>
          <w:tcPr>
            <w:tcW w:type="dxa" w:w="3249"/>
          </w:tcPr>
          <w:p>
            <w:r>
              <w:t>`IEC 104 Master`</w:t>
            </w:r>
          </w:p>
        </w:tc>
        <w:tc>
          <w:tcPr>
            <w:tcW w:type="dxa" w:w="3249"/>
          </w:tcPr>
          <w:p>
            <w:r>
              <w:t>Обмен по IEC 60870-5-104 в режиме master, включая приём файлов и архивных данных.</w:t>
            </w:r>
          </w:p>
        </w:tc>
        <w:tc>
          <w:tcPr>
            <w:tcW w:type="dxa" w:w="3249"/>
          </w:tcPr>
          <w:p>
            <w:r>
              <w:t>С 2023 и далее модуль сильно вырос: приём файлов (например, COMTRADE), получение архивных данных ПЛК в историю без записи в сигналы, работа с несколькими станциями по разным каналам, параметры взаимодействия по станции, валидация качества, новый алгоритм очередей, режимы резервных каналов. В 2026 часть возможностей объединена в универсальном модуле `IEC-104`.</w:t>
            </w:r>
          </w:p>
        </w:tc>
      </w:tr>
      <w:tr>
        <w:tc>
          <w:tcPr>
            <w:tcW w:type="dxa" w:w="3249"/>
          </w:tcPr>
          <w:p>
            <w:r>
              <w:t>`IEC 104 Slave`</w:t>
            </w:r>
          </w:p>
        </w:tc>
        <w:tc>
          <w:tcPr>
            <w:tcW w:type="dxa" w:w="3249"/>
          </w:tcPr>
          <w:p>
            <w:r>
              <w:t>Обмен по IEC 60870-5-104 в режиме slave.</w:t>
            </w:r>
          </w:p>
        </w:tc>
        <w:tc>
          <w:tcPr>
            <w:tcW w:type="dxa" w:w="3249"/>
          </w:tcPr>
          <w:p>
            <w:r>
              <w:t>В 2024 добавлены разные общие адреса ASDU в одном источнике, параметры взаимодействия по станции, команды с предварительным выбором и служебные IEC-команды. Дальше модуль эволюционировал в сторону унификации с общим `IEC-104`.</w:t>
            </w:r>
          </w:p>
        </w:tc>
      </w:tr>
      <w:tr>
        <w:tc>
          <w:tcPr>
            <w:tcW w:type="dxa" w:w="3249"/>
          </w:tcPr>
          <w:p>
            <w:r>
              <w:t>`Logic` / `Logics.Module`</w:t>
            </w:r>
          </w:p>
        </w:tc>
        <w:tc>
          <w:tcPr>
            <w:tcW w:type="dxa" w:w="3249"/>
          </w:tcPr>
          <w:p>
            <w:r>
              <w:t>Логика, формулы, обработчики, алгоритмы и пересчёты сигналов.</w:t>
            </w:r>
          </w:p>
        </w:tc>
        <w:tc>
          <w:tcPr>
            <w:tcW w:type="dxa" w:w="3249"/>
          </w:tcPr>
          <w:p>
            <w:r>
              <w:t>В 2024–2025 оптимизирована обработка результатов вычислений, уменьшено потребление памяти, добавлено вычисление формул по начальным значениям, улучшены тексты ошибок внешних функций, исправлены редкие ошибки типов, массивов и логических значений.</w:t>
            </w:r>
          </w:p>
        </w:tc>
      </w:tr>
      <w:tr>
        <w:tc>
          <w:tcPr>
            <w:tcW w:type="dxa" w:w="3249"/>
          </w:tcPr>
          <w:p>
            <w:r>
              <w:t>`MQTT Client`</w:t>
            </w:r>
          </w:p>
        </w:tc>
        <w:tc>
          <w:tcPr>
            <w:tcW w:type="dxa" w:w="3249"/>
          </w:tcPr>
          <w:p>
            <w:r>
              <w:t>Обмен данными по MQTT.</w:t>
            </w:r>
          </w:p>
        </w:tc>
        <w:tc>
          <w:tcPr>
            <w:tcW w:type="dxa" w:w="3249"/>
          </w:tcPr>
          <w:p>
            <w:r>
              <w:t>В 2025 реализован новый алгоритм работы очередей приёма и отправки данных.</w:t>
            </w:r>
          </w:p>
        </w:tc>
      </w:tr>
      <w:tr>
        <w:tc>
          <w:tcPr>
            <w:tcW w:type="dxa" w:w="3249"/>
          </w:tcPr>
          <w:p>
            <w:r>
              <w:t>`Modbus RTU Master`</w:t>
            </w:r>
          </w:p>
        </w:tc>
        <w:tc>
          <w:tcPr>
            <w:tcW w:type="dxa" w:w="3249"/>
          </w:tcPr>
          <w:p>
            <w:r>
              <w:t>Обмен с устройствами по Modbus RTU в режиме master.</w:t>
            </w:r>
          </w:p>
        </w:tc>
        <w:tc>
          <w:tcPr>
            <w:tcW w:type="dxa" w:w="3249"/>
          </w:tcPr>
          <w:p>
            <w:r>
              <w:t>В 2025–2026 появились новые параметры реакции на ошибочные ответы, отключение станции при превышении лимита ошибок, статистика по каналу, служебный сигнал разрешения запросов станции.</w:t>
            </w:r>
          </w:p>
        </w:tc>
      </w:tr>
      <w:tr>
        <w:tc>
          <w:tcPr>
            <w:tcW w:type="dxa" w:w="3249"/>
          </w:tcPr>
          <w:p>
            <w:r>
              <w:t>`Modbus RTU Slave`</w:t>
            </w:r>
          </w:p>
        </w:tc>
        <w:tc>
          <w:tcPr>
            <w:tcW w:type="dxa" w:w="3249"/>
          </w:tcPr>
          <w:p>
            <w:r>
              <w:t>Обмен по Modbus RTU в режиме slave.</w:t>
            </w:r>
          </w:p>
        </w:tc>
        <w:tc>
          <w:tcPr>
            <w:tcW w:type="dxa" w:w="3249"/>
          </w:tcPr>
          <w:p>
            <w:r>
              <w:t>В 2024–2025 стабилизирован обмен, исправлены ошибки строк и ответов, модуль участвовал в общем блоке доработок Modbus-линейки.</w:t>
            </w:r>
          </w:p>
        </w:tc>
      </w:tr>
      <w:tr>
        <w:tc>
          <w:tcPr>
            <w:tcW w:type="dxa" w:w="3249"/>
          </w:tcPr>
          <w:p>
            <w:r>
              <w:t>`Modbus TCP Master`</w:t>
            </w:r>
          </w:p>
        </w:tc>
        <w:tc>
          <w:tcPr>
            <w:tcW w:type="dxa" w:w="3249"/>
          </w:tcPr>
          <w:p>
            <w:r>
              <w:t>Обмен по Modbus TCP в режиме master.</w:t>
            </w:r>
          </w:p>
        </w:tc>
        <w:tc>
          <w:tcPr>
            <w:tcW w:type="dxa" w:w="3249"/>
          </w:tcPr>
          <w:p>
            <w:r>
              <w:t>В 2024 DevStudio и Server получили поддержку нескольких станций с одинаковым номером по разным каналам, опрос через умные шлюзы, `RTU over TCP`, расширение Modbus для ПЛК ЭМИКОН, отдельные параметры связи по станции, паузы между запросами и более надёжное восстановление обмена.</w:t>
            </w:r>
          </w:p>
        </w:tc>
      </w:tr>
      <w:tr>
        <w:tc>
          <w:tcPr>
            <w:tcW w:type="dxa" w:w="3249"/>
          </w:tcPr>
          <w:p>
            <w:r>
              <w:t>`Modbus TCP Slave`</w:t>
            </w:r>
          </w:p>
        </w:tc>
        <w:tc>
          <w:tcPr>
            <w:tcW w:type="dxa" w:w="3249"/>
          </w:tcPr>
          <w:p>
            <w:r>
              <w:t>Обмен по Modbus TCP в режиме slave.</w:t>
            </w:r>
          </w:p>
        </w:tc>
        <w:tc>
          <w:tcPr>
            <w:tcW w:type="dxa" w:w="3249"/>
          </w:tcPr>
          <w:p>
            <w:r>
              <w:t>В 2024–2025 поддержано расширение протокола для ПЛК ЭМИКОН, UTF-16 и увеличенные строки, а также исправлены ошибки ответа и работы со строковыми данными.</w:t>
            </w:r>
          </w:p>
        </w:tc>
      </w:tr>
      <w:tr>
        <w:tc>
          <w:tcPr>
            <w:tcW w:type="dxa" w:w="3249"/>
          </w:tcPr>
          <w:p>
            <w:r>
              <w:t>`OPC UA Client`</w:t>
            </w:r>
          </w:p>
        </w:tc>
        <w:tc>
          <w:tcPr>
            <w:tcW w:type="dxa" w:w="3249"/>
          </w:tcPr>
          <w:p>
            <w:r>
              <w:t>Обмен с OPC UA серверами, безопасные соединения, подписки и многосерверная работа.</w:t>
            </w:r>
          </w:p>
        </w:tc>
        <w:tc>
          <w:tcPr>
            <w:tcW w:type="dxa" w:w="3249"/>
          </w:tcPr>
          <w:p>
            <w:r>
              <w:t>В 2024–2026 вырос масштаб и устойчивость: конвертация качества в `StatusCode`, увеличение лимита обслуживаемых серверов, новые параметры таймера жизни подписки, корректное восстановление после разрыва, улучшение работы с резервными ПЛК, исправления сертификатов и Linux-устойчивости.</w:t>
            </w:r>
          </w:p>
        </w:tc>
      </w:tr>
      <w:tr>
        <w:tc>
          <w:tcPr>
            <w:tcW w:type="dxa" w:w="3249"/>
          </w:tcPr>
          <w:p>
            <w:r>
              <w:t>`OPC UA Server`</w:t>
            </w:r>
          </w:p>
        </w:tc>
        <w:tc>
          <w:tcPr>
            <w:tcW w:type="dxa" w:w="3249"/>
          </w:tcPr>
          <w:p>
            <w:r>
              <w:t>Предоставление данных через OPC UA.</w:t>
            </w:r>
          </w:p>
        </w:tc>
        <w:tc>
          <w:tcPr>
            <w:tcW w:type="dxa" w:w="3249"/>
          </w:tcPr>
          <w:p>
            <w:r>
              <w:t>С 2023 в конфигурации можно использовать несколько экземпляров `OPC UA Server` для выдачи разным клиентам разных наборов данных. В 2025 поддержаны `CA Signed Certificate management`, CRL и новые политики безопасности `Aes128-Sha256-RsaOaep`, `Basic256Sha256`, `Aes256-Sha256-RsaPss`.</w:t>
            </w:r>
          </w:p>
        </w:tc>
      </w:tr>
      <w:tr>
        <w:tc>
          <w:tcPr>
            <w:tcW w:type="dxa" w:w="3249"/>
          </w:tcPr>
          <w:p>
            <w:r>
              <w:t>`Process Monitoring`</w:t>
            </w:r>
          </w:p>
        </w:tc>
        <w:tc>
          <w:tcPr>
            <w:tcW w:type="dxa" w:w="3249"/>
          </w:tcPr>
          <w:p>
            <w:r>
              <w:t>Мониторинг процессов ОС.</w:t>
            </w:r>
          </w:p>
        </w:tc>
        <w:tc>
          <w:tcPr>
            <w:tcW w:type="dxa" w:w="3249"/>
          </w:tcPr>
          <w:p>
            <w:r>
              <w:t>С 2023 появился `ProcessMonitor`, позволяющий получать данные о процессах Linux, использовании диска и RAM. В 2026 исправлена работа отслеживания процессов при запуске от непривилегированного пользователя.</w:t>
            </w:r>
          </w:p>
        </w:tc>
      </w:tr>
      <w:tr>
        <w:tc>
          <w:tcPr>
            <w:tcW w:type="dxa" w:w="3249"/>
          </w:tcPr>
          <w:p>
            <w:r>
              <w:t>`SNMP Manager`</w:t>
            </w:r>
          </w:p>
        </w:tc>
        <w:tc>
          <w:tcPr>
            <w:tcW w:type="dxa" w:w="3249"/>
          </w:tcPr>
          <w:p>
            <w:r>
              <w:t>Мониторинг и обмен по SNMP, приём трапов, журналирование.</w:t>
            </w:r>
          </w:p>
        </w:tc>
        <w:tc>
          <w:tcPr>
            <w:tcW w:type="dxa" w:w="3249"/>
          </w:tcPr>
          <w:p>
            <w:r>
              <w:t>В 2024–2026 улучшены журналирование и типизация входящих кадров, работа с контекстом для разделения доступа к нескольким устройствам, сброс сохранённого времени агента, частично сняты ограничения по уведомлениям от разных агентов с одного IP/порта.</w:t>
            </w:r>
          </w:p>
        </w:tc>
      </w:tr>
      <w:tr>
        <w:tc>
          <w:tcPr>
            <w:tcW w:type="dxa" w:w="3249"/>
          </w:tcPr>
          <w:p>
            <w:r>
              <w:t>`SQL Connector`</w:t>
            </w:r>
          </w:p>
        </w:tc>
        <w:tc>
          <w:tcPr>
            <w:tcW w:type="dxa" w:w="3249"/>
          </w:tcPr>
          <w:p>
            <w:r>
              <w:t>Подключение к SQL-БД, выполнение запросов и обмен с внешними БД.</w:t>
            </w:r>
          </w:p>
        </w:tc>
        <w:tc>
          <w:tcPr>
            <w:tcW w:type="dxa" w:w="3249"/>
          </w:tcPr>
          <w:p>
            <w:r>
              <w:t>До 2024 уже появился вынос пароля в отдельный зашифрованный параметр. В 2024 добавлены неявные приведения ODBC-типов большей разрядности к меньшей и разделение запросов по сессиям. В 2025 исправлено выполнение запросов после потери и восстановления соединения с БД.</w:t>
            </w:r>
          </w:p>
        </w:tc>
      </w:tr>
      <w:tr>
        <w:tc>
          <w:tcPr>
            <w:tcW w:type="dxa" w:w="3249"/>
          </w:tcPr>
          <w:p>
            <w:r>
              <w:t>`Snapshot`</w:t>
            </w:r>
          </w:p>
        </w:tc>
        <w:tc>
          <w:tcPr>
            <w:tcW w:type="dxa" w:w="3249"/>
          </w:tcPr>
          <w:p>
            <w:r>
              <w:t>Формирование файлов-срезов и восстановление состояния.</w:t>
            </w:r>
          </w:p>
        </w:tc>
        <w:tc>
          <w:tcPr>
            <w:tcW w:type="dxa" w:w="3249"/>
          </w:tcPr>
          <w:p>
            <w:r>
              <w:t>В 2023–2024 добавлены формирование файлов-срезов нужного формата, восстановление из стороннего формата, сохранение файла-среза перед остановкой сервера/модуля и возможность настраивать эти параметры из DevStudio.</w:t>
            </w:r>
          </w:p>
        </w:tc>
      </w:tr>
      <w:tr>
        <w:tc>
          <w:tcPr>
            <w:tcW w:type="dxa" w:w="3249"/>
          </w:tcPr>
          <w:p>
            <w:r>
              <w:t>`SysLog.Client`</w:t>
            </w:r>
          </w:p>
        </w:tc>
        <w:tc>
          <w:tcPr>
            <w:tcW w:type="dxa" w:w="3249"/>
          </w:tcPr>
          <w:p>
            <w:r>
              <w:t>Отправка Syslog-сообщений внешним получателям.</w:t>
            </w:r>
          </w:p>
        </w:tc>
        <w:tc>
          <w:tcPr>
            <w:tcW w:type="dxa" w:w="3249"/>
          </w:tcPr>
          <w:p>
            <w:r>
              <w:t>В 2024 появился самостоятельный `Syslog Client`, обеспечивающий накопление и отправку Syslog-сообщений. В 2025 в статистике стали отображаться данные получателя.</w:t>
            </w:r>
          </w:p>
        </w:tc>
      </w:tr>
      <w:tr>
        <w:tc>
          <w:tcPr>
            <w:tcW w:type="dxa" w:w="3249"/>
          </w:tcPr>
          <w:p>
            <w:r>
              <w:t>`Write.VQT`</w:t>
            </w:r>
          </w:p>
        </w:tc>
        <w:tc>
          <w:tcPr>
            <w:tcW w:type="dxa" w:w="3249"/>
          </w:tcPr>
          <w:p>
            <w:r>
              <w:t>Независимое управление `Value`, `Quality`, `Timestamp` сигнала.</w:t>
            </w:r>
          </w:p>
        </w:tc>
        <w:tc>
          <w:tcPr>
            <w:tcW w:type="dxa" w:w="3249"/>
          </w:tcPr>
          <w:p>
            <w:r>
              <w:t>В последующих релизах этот контур использовался в сочетании с развитием адресации, логики и серверной обработки VQT; явное расширение функциональности в архиве зафиксировано слабее, чем по основным коммуникационным модулям.</w:t>
            </w:r>
          </w:p>
        </w:tc>
      </w:tr>
      <w:tr>
        <w:tc>
          <w:tcPr>
            <w:tcW w:type="dxa" w:w="3249"/>
          </w:tcPr>
          <w:p>
            <w:r>
              <w:t>`Data Buffer`</w:t>
            </w:r>
          </w:p>
        </w:tc>
        <w:tc>
          <w:tcPr>
            <w:tcW w:type="dxa" w:w="3249"/>
          </w:tcPr>
          <w:p>
            <w:r>
              <w:t>Буфер хранения текущих и предыдущих значений сигналов в памяти.</w:t>
            </w:r>
          </w:p>
        </w:tc>
        <w:tc>
          <w:tcPr>
            <w:tcW w:type="dxa" w:w="3249"/>
          </w:tcPr>
          <w:p>
            <w:r>
              <w:t>В 2026 добавлен параметр `Перекладывать первое значение`; затем исправлена последовательность обработки данных от `OPC UA Server`, влияющая на этот режим.</w:t>
            </w:r>
          </w:p>
        </w:tc>
      </w:tr>
      <w:tr>
        <w:tc>
          <w:tcPr>
            <w:tcW w:type="dxa" w:w="3249"/>
          </w:tcPr>
          <w:p>
            <w:r>
              <w:t>`Server.Core 5000 / 10000 / 25000`</w:t>
            </w:r>
          </w:p>
        </w:tc>
        <w:tc>
          <w:tcPr>
            <w:tcW w:type="dxa" w:w="3249"/>
          </w:tcPr>
          <w:p>
            <w:r>
              <w:t>Лицензии ёмкости Alpha.Server.</w:t>
            </w:r>
          </w:p>
        </w:tc>
        <w:tc>
          <w:tcPr>
            <w:tcW w:type="dxa" w:w="3249"/>
          </w:tcPr>
          <w:p>
            <w:r>
              <w:t>Новые функции определяются не самой лицензией, а развитием Alpha.Server и связанных модулей. Различие между артикулами ARM — только в масштабе, а не в функциональной логике.</w:t>
            </w:r>
          </w:p>
        </w:tc>
      </w:tr>
    </w:tbl>
    <w:p/>
    <w:p>
      <w:r>
        <w:t>---</w:t>
      </w:r>
    </w:p>
    <w:p>
      <w:pPr>
        <w:pStyle w:val="Heading2"/>
      </w:pPr>
      <w:r>
        <w:t>1.4. Итог по ARM-артикулам</w:t>
      </w:r>
    </w:p>
    <w:p>
      <w:pPr>
        <w:pStyle w:val="Heading3"/>
      </w:pPr>
      <w:r>
        <w:t>TN-CPA-ARM-5K</w:t>
      </w:r>
    </w:p>
    <w:p>
      <w:pPr>
        <w:pStyle w:val="ListBullet"/>
        <w:ind w:left="0"/>
      </w:pPr>
      <w:r>
        <w:t>Полноценный одиночно стоящий АРМ с визуализацией, тревогами, графиками, веб-доступом, диагностикой, серверной логикой и широким набором протоколов обмена.</w:t>
      </w:r>
    </w:p>
    <w:p>
      <w:pPr>
        <w:pStyle w:val="ListBullet"/>
        <w:ind w:left="0"/>
      </w:pPr>
      <w:r>
        <w:t>Главный прирост ценности в 2024–2026 обеспечен развитием `Alpha.Server`, `Alpha.HMI`, `Alpha.HMI.WebViewer`, `Alpha.HMI.Alarms`, `Alpha.HMI.Trends / Charts`, а также коммуникационных модулей и истории.</w:t>
      </w:r>
    </w:p>
    <w:p>
      <w:pPr>
        <w:pStyle w:val="ListBullet"/>
        <w:ind w:left="0"/>
      </w:pPr>
      <w:r>
        <w:t>Ограничение определяется лицензией `Server.Core 5000`.</w:t>
      </w:r>
    </w:p>
    <w:p>
      <w:pPr>
        <w:pStyle w:val="Heading3"/>
      </w:pPr>
      <w:r>
        <w:t>TN-CPA-ARM-10K</w:t>
      </w:r>
    </w:p>
    <w:p>
      <w:pPr>
        <w:pStyle w:val="ListBullet"/>
        <w:ind w:left="0"/>
      </w:pPr>
      <w:r>
        <w:t>Функционально соответствует `TN-CPA-ARM-5K`.</w:t>
      </w:r>
    </w:p>
    <w:p>
      <w:pPr>
        <w:pStyle w:val="ListBullet"/>
        <w:ind w:left="0"/>
      </w:pPr>
      <w:r>
        <w:t>Отличается лицензией `Server.Core 10000`, то есть рассчитан на более крупный масштаб проекта.</w:t>
      </w:r>
    </w:p>
    <w:p>
      <w:pPr>
        <w:pStyle w:val="Heading3"/>
      </w:pPr>
      <w:r>
        <w:t>TN-CPA-ARM-25K</w:t>
      </w:r>
    </w:p>
    <w:p>
      <w:pPr>
        <w:pStyle w:val="ListBullet"/>
        <w:ind w:left="0"/>
      </w:pPr>
      <w:r>
        <w:t>Функционально соответствует двум предыдущим артикулам.</w:t>
      </w:r>
    </w:p>
    <w:p>
      <w:pPr>
        <w:pStyle w:val="ListBullet"/>
        <w:ind w:left="0"/>
      </w:pPr>
      <w:r>
        <w:t>Отличается лицензией `Server.Core 25000` и является самым ёмким вариантом семейства.</w:t>
      </w:r>
    </w:p>
    <w:p>
      <w:r>
        <w:t>---</w:t>
      </w:r>
    </w:p>
    <w:p>
      <w:pPr>
        <w:pStyle w:val="Heading1"/>
      </w:pPr>
      <w:r>
        <w:t>2. Артикулы сервера истории</w:t>
      </w:r>
    </w:p>
    <w:p>
      <w:r>
        <w:t>Артикулы:</w:t>
      </w:r>
    </w:p>
    <w:p>
      <w:pPr>
        <w:pStyle w:val="ListBullet"/>
        <w:ind w:left="0"/>
      </w:pPr>
      <w:r>
        <w:t>`TN-CPA-PHD500`</w:t>
      </w:r>
    </w:p>
    <w:p>
      <w:pPr>
        <w:pStyle w:val="ListBullet"/>
        <w:ind w:left="0"/>
      </w:pPr>
      <w:r>
        <w:t>`TN-CPA-PHD1K`</w:t>
      </w:r>
    </w:p>
    <w:p>
      <w:pPr>
        <w:pStyle w:val="Heading2"/>
      </w:pPr>
      <w:r>
        <w:t>2.1. Общий вывод по семейству PHD</w:t>
      </w:r>
    </w:p>
    <w:p>
      <w:r>
        <w:t>Оба артикула имеют один и тот же функциональный состав:</w:t>
      </w:r>
    </w:p>
    <w:p>
      <w:pPr>
        <w:pStyle w:val="ListBullet"/>
        <w:ind w:left="0"/>
      </w:pPr>
      <w:r>
        <w:t>`Historian`</w:t>
      </w:r>
    </w:p>
    <w:p>
      <w:pPr>
        <w:pStyle w:val="ListBullet"/>
        <w:ind w:left="0"/>
      </w:pPr>
      <w:r>
        <w:t>`Tools`</w:t>
      </w:r>
    </w:p>
    <w:p>
      <w:pPr>
        <w:pStyle w:val="ListBullet"/>
        <w:ind w:left="0"/>
      </w:pPr>
      <w:r>
        <w:t>`RMap`</w:t>
      </w:r>
    </w:p>
    <w:p>
      <w:pPr>
        <w:pStyle w:val="ListBullet"/>
        <w:ind w:left="0"/>
      </w:pPr>
      <w:r>
        <w:t>`Licensing`</w:t>
      </w:r>
    </w:p>
    <w:p>
      <w:pPr>
        <w:pStyle w:val="ListBullet"/>
        <w:ind w:left="0"/>
      </w:pPr>
      <w:r>
        <w:t>`DevStudio`</w:t>
      </w:r>
    </w:p>
    <w:p>
      <w:r>
        <w:t>Главное различие — лицензируемая ёмкость архива:</w:t>
      </w:r>
    </w:p>
    <w:p>
      <w:pPr>
        <w:pStyle w:val="ListBullet"/>
        <w:ind w:left="0"/>
      </w:pPr>
      <w:r>
        <w:t>`TN-CPA-PHD500` → `Historian 500`</w:t>
      </w:r>
    </w:p>
    <w:p>
      <w:pPr>
        <w:pStyle w:val="ListBullet"/>
        <w:ind w:left="0"/>
      </w:pPr>
      <w:r>
        <w:t>`TN-CPA-PHD1K` → `Historian 1000`</w:t>
      </w:r>
    </w:p>
    <w:p>
      <w:r>
        <w:t>---</w:t>
      </w:r>
    </w:p>
    <w:p>
      <w:pPr>
        <w:pStyle w:val="Heading2"/>
      </w:pPr>
      <w:r>
        <w:t>2.2. Компоненты PHD с зафиксированным развитием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t>Компонент</w:t>
            </w:r>
          </w:p>
        </w:tc>
        <w:tc>
          <w:tcPr>
            <w:tcW w:type="dxa" w:w="3249"/>
            <w:shd w:fill="D9EAF7"/>
          </w:tcPr>
          <w:p>
            <w:r>
              <w:t>Функционал до 2024 года</w:t>
            </w:r>
          </w:p>
        </w:tc>
        <w:tc>
          <w:tcPr>
            <w:tcW w:type="dxa" w:w="3249"/>
            <w:shd w:fill="D9EAF7"/>
          </w:tcPr>
          <w:p>
            <w:r>
              <w:t>Что добавилось / изменилось в 2024–2026</w:t>
            </w:r>
          </w:p>
        </w:tc>
      </w:tr>
      <w:tr>
        <w:tc>
          <w:tcPr>
            <w:tcW w:type="dxa" w:w="3249"/>
          </w:tcPr>
          <w:p>
            <w:r>
              <w:t>`Historian`</w:t>
            </w:r>
          </w:p>
        </w:tc>
        <w:tc>
          <w:tcPr>
            <w:tcW w:type="dxa" w:w="3249"/>
          </w:tcPr>
          <w:p>
            <w:r>
              <w:t>Сервер хранения истории значений и событий; долговременное хранение; работа с БД формата 3x; получение данных от Alpha.Server и выдача истории клиентам.</w:t>
            </w:r>
          </w:p>
        </w:tc>
        <w:tc>
          <w:tcPr>
            <w:tcW w:type="dxa" w:w="3249"/>
          </w:tcPr>
          <w:p>
            <w:r>
              <w:t>Ключевой скачок — `Alpha.Historian 4.0` в 2024: формат БД `4x`, запись с любой меткой времени, ускорение операций с диском и запуска БД, более компактное хранение, меньшая зависимость памяти от количества источников, новая модель конфигурации, мониторинг, CLI и централизованные политики через `Alpha.Security`. В 2025 улучшена инициализация лицензии и security-интеграция. В 2026 добавлено правило отбрасывания записей с недопустимым отклонением временной метки.</w:t>
            </w:r>
          </w:p>
        </w:tc>
      </w:tr>
      <w:tr>
        <w:tc>
          <w:tcPr>
            <w:tcW w:type="dxa" w:w="3249"/>
          </w:tcPr>
          <w:p>
            <w:r>
              <w:t>`RMap`</w:t>
            </w:r>
          </w:p>
        </w:tc>
        <w:tc>
          <w:tcPr>
            <w:tcW w:type="dxa" w:w="3249"/>
          </w:tcPr>
          <w:p>
            <w:r>
              <w:t>SQL-интерфейс к оперативным и историческим данным в реляционном виде.</w:t>
            </w:r>
          </w:p>
        </w:tc>
        <w:tc>
          <w:tcPr>
            <w:tcW w:type="dxa" w:w="3249"/>
          </w:tcPr>
          <w:p>
            <w:r>
              <w:t>В 2024 ускорено выполнение запросов истории по именам сигналов. На практике это повышает удобство аналитики, отчётности и клиентских SQL-интеграций поверх исторических данных.</w:t>
            </w:r>
          </w:p>
        </w:tc>
      </w:tr>
      <w:tr>
        <w:tc>
          <w:tcPr>
            <w:tcW w:type="dxa" w:w="3249"/>
          </w:tcPr>
          <w:p>
            <w:r>
              <w:t>`DevStudio`</w:t>
            </w:r>
          </w:p>
        </w:tc>
        <w:tc>
          <w:tcPr>
            <w:tcW w:type="dxa" w:w="3249"/>
          </w:tcPr>
          <w:p>
            <w:r>
              <w:t>Среда проектирования и развёртывания, в том числе конфигураций историзации.</w:t>
            </w:r>
          </w:p>
        </w:tc>
        <w:tc>
          <w:tcPr>
            <w:tcW w:type="dxa" w:w="3249"/>
          </w:tcPr>
          <w:p>
            <w:r>
              <w:t>В 2024 улучшены построение и публикация, CLI, работа с отдельными проектами, контроль корректности конфигураций, построение дублирующих серверов истории и настройка параметров истории через новый серверный функционал.</w:t>
            </w:r>
          </w:p>
        </w:tc>
      </w:tr>
      <w:tr>
        <w:tc>
          <w:tcPr>
            <w:tcW w:type="dxa" w:w="3249"/>
          </w:tcPr>
          <w:p>
            <w:r>
              <w:t>`Historian.Compaction`</w:t>
            </w:r>
          </w:p>
        </w:tc>
        <w:tc>
          <w:tcPr>
            <w:tcW w:type="dxa" w:w="3249"/>
          </w:tcPr>
          <w:p>
            <w:r>
              <w:t>Оптимизация и уплотнение хранения исторических данных.</w:t>
            </w:r>
          </w:p>
        </w:tc>
        <w:tc>
          <w:tcPr>
            <w:tcW w:type="dxa" w:w="3249"/>
          </w:tcPr>
          <w:p>
            <w:r>
              <w:t>После перехода к `4x` возросла эффективность хранения, очистки и обслуживания БД. На уровне практического эффекта это выразилось в более быстрой работе и меньших накладных расходах по памяти и диску.</w:t>
            </w:r>
          </w:p>
        </w:tc>
      </w:tr>
      <w:tr>
        <w:tc>
          <w:tcPr>
            <w:tcW w:type="dxa" w:w="3249"/>
          </w:tcPr>
          <w:p>
            <w:r>
              <w:t>`Historian 500 / 1000`</w:t>
            </w:r>
          </w:p>
        </w:tc>
        <w:tc>
          <w:tcPr>
            <w:tcW w:type="dxa" w:w="3249"/>
          </w:tcPr>
          <w:p>
            <w:r>
              <w:t>Лицензии ёмкости сервера истории.</w:t>
            </w:r>
          </w:p>
        </w:tc>
        <w:tc>
          <w:tcPr>
            <w:tcW w:type="dxa" w:w="3249"/>
          </w:tcPr>
          <w:p>
            <w:r>
              <w:t>Новые возможности определяются развитием самого `Alpha.Historian`, а не лицензией. Различие между артикулами PHD — в объёме лицензируемой ёмкости.</w:t>
            </w:r>
          </w:p>
        </w:tc>
      </w:tr>
    </w:tbl>
    <w:p/>
    <w:p>
      <w:r>
        <w:t>---</w:t>
      </w:r>
    </w:p>
    <w:p>
      <w:pPr>
        <w:pStyle w:val="Heading2"/>
      </w:pPr>
      <w:r>
        <w:t>2.3. Итог по PHD-артикулам</w:t>
      </w:r>
    </w:p>
    <w:p>
      <w:pPr>
        <w:pStyle w:val="Heading3"/>
      </w:pPr>
      <w:r>
        <w:t>TN-CPA-PHD500</w:t>
      </w:r>
    </w:p>
    <w:p>
      <w:pPr>
        <w:pStyle w:val="ListBullet"/>
        <w:ind w:left="0"/>
      </w:pPr>
      <w:r>
        <w:t>Сервер истории на базе `Alpha.Historian` с SQL-доступом через `Alpha.RMap` и инженерным сопровождением через `Alpha.DevStudio`.</w:t>
      </w:r>
    </w:p>
    <w:p>
      <w:pPr>
        <w:pStyle w:val="ListBullet"/>
        <w:ind w:left="0"/>
      </w:pPr>
      <w:r>
        <w:t>Главный прирост ценности в 2024–2026 — переход на поколение `Alpha.Historian 4.x`.</w:t>
      </w:r>
    </w:p>
    <w:p>
      <w:pPr>
        <w:pStyle w:val="ListBullet"/>
        <w:ind w:left="0"/>
      </w:pPr>
      <w:r>
        <w:t>Отличие от PHD1K — только в лицензируемой ёмкости архива.</w:t>
      </w:r>
    </w:p>
    <w:p>
      <w:pPr>
        <w:pStyle w:val="Heading3"/>
      </w:pPr>
      <w:r>
        <w:t>TN-CPA-PHD1K</w:t>
      </w:r>
    </w:p>
    <w:p>
      <w:pPr>
        <w:pStyle w:val="ListBullet"/>
        <w:ind w:left="0"/>
      </w:pPr>
      <w:r>
        <w:t>Функционально соответствует `TN-CPA-PHD500`.</w:t>
      </w:r>
    </w:p>
    <w:p>
      <w:pPr>
        <w:pStyle w:val="ListBullet"/>
        <w:ind w:left="0"/>
      </w:pPr>
      <w:r>
        <w:t>Отличается лицензией `Historian 1000`.</w:t>
      </w:r>
    </w:p>
    <w:p>
      <w:pPr>
        <w:pStyle w:val="ListBullet"/>
        <w:ind w:left="0"/>
      </w:pPr>
      <w:r>
        <w:t>Все новые возможности `Alpha.Historian 4.x` применимы в полном объёме.</w:t>
      </w:r>
    </w:p>
    <w:p>
      <w:r>
        <w:t>---</w:t>
      </w:r>
    </w:p>
    <w:p>
      <w:pPr>
        <w:pStyle w:val="Heading1"/>
      </w:pPr>
      <w:r>
        <w:t>3. Ключевые выводы</w:t>
      </w:r>
    </w:p>
    <w:p>
      <w:r>
        <w:t xml:space="preserve">1. </w:t>
      </w:r>
      <w:r>
        <w:rPr>
          <w:b/>
        </w:rPr>
        <w:t>ARM-артикулы развивались главным образом за счёт серверного и HMI-контура</w:t>
      </w:r>
      <w:r>
        <w:t>, а не за счёт изменения состава лицензий.</w:t>
      </w:r>
    </w:p>
    <w:p>
      <w:r>
        <w:t xml:space="preserve">2. </w:t>
      </w:r>
      <w:r>
        <w:rPr>
          <w:b/>
        </w:rPr>
        <w:t>Наиболее заметный прирост в 2024–2026 гг. дали</w:t>
      </w:r>
      <w:r>
        <w:t>:</w:t>
      </w:r>
    </w:p>
    <w:p>
      <w:pPr>
        <w:pStyle w:val="ListBullet"/>
        <w:ind w:left="340"/>
      </w:pPr>
      <w:r>
        <w:t>`Alpha.Server`;</w:t>
      </w:r>
    </w:p>
    <w:p>
      <w:pPr>
        <w:pStyle w:val="ListBullet"/>
        <w:ind w:left="340"/>
      </w:pPr>
      <w:r>
        <w:t>`Alpha.HMI` и `Alpha.HMI.WebViewer`;</w:t>
      </w:r>
    </w:p>
    <w:p>
      <w:pPr>
        <w:pStyle w:val="ListBullet"/>
        <w:ind w:left="340"/>
      </w:pPr>
      <w:r>
        <w:t>`Alpha.HMI.Alarms`;</w:t>
      </w:r>
    </w:p>
    <w:p>
      <w:pPr>
        <w:pStyle w:val="ListBullet"/>
        <w:ind w:left="340"/>
      </w:pPr>
      <w:r>
        <w:t>`Alpha.HMI.Trends / Alpha.HMI.Charts`;</w:t>
      </w:r>
    </w:p>
    <w:p>
      <w:pPr>
        <w:pStyle w:val="ListBullet"/>
        <w:ind w:left="340"/>
      </w:pPr>
      <w:r>
        <w:t>`Alpha.DevStudio`;</w:t>
      </w:r>
    </w:p>
    <w:p>
      <w:pPr>
        <w:pStyle w:val="ListBullet"/>
        <w:ind w:left="340"/>
      </w:pPr>
      <w:r>
        <w:t>коммуникационные модули `IEC-104`, `Modbus`, `OPC UA`, `SNMP`, `MQTT`, `SQL Connector`, `HUB`, `Snapshot`.</w:t>
      </w:r>
    </w:p>
    <w:p>
      <w:r>
        <w:t xml:space="preserve">3. </w:t>
      </w:r>
      <w:r>
        <w:rPr>
          <w:b/>
        </w:rPr>
        <w:t>PHD-артикулы получили основной прирост ценности за счёт перехода к Alpha.Historian 4.x</w:t>
      </w:r>
      <w:r>
        <w:t xml:space="preserve"> и ускорения SQL-доступа через `Alpha.RMap`.</w:t>
      </w:r>
    </w:p>
    <w:p>
      <w:r>
        <w:t xml:space="preserve">4. </w:t>
      </w:r>
      <w:r>
        <w:rPr>
          <w:b/>
        </w:rPr>
        <w:t>Различия внутри каждого семейства артикулов — в первую очередь масштабные, а не функциональные</w:t>
      </w:r>
      <w:r>
        <w:t>:</w:t>
      </w:r>
    </w:p>
    <w:p>
      <w:pPr>
        <w:pStyle w:val="ListBullet"/>
        <w:ind w:left="340"/>
      </w:pPr>
      <w:r>
        <w:t>ARM: 5K / 10K / 25K;</w:t>
      </w:r>
    </w:p>
    <w:p>
      <w:pPr>
        <w:pStyle w:val="ListBullet"/>
        <w:ind w:left="340"/>
      </w:pPr>
      <w:r>
        <w:t>PHD: 500 / 1000.</w:t>
      </w:r>
    </w:p>
    <w:p>
      <w:r>
        <w:t>---</w:t>
      </w:r>
    </w:p>
    <w:p>
      <w:pPr>
        <w:pStyle w:val="Heading1"/>
      </w:pPr>
      <w:r>
        <w:t>4. Практический вывод для оформления внешнего документа</w:t>
      </w:r>
    </w:p>
    <w:p>
      <w:r>
        <w:t>Если документ пойдёт дальше в КП, презентацию или клиентский отчёт, рекомендуется:</w:t>
      </w:r>
    </w:p>
    <w:p>
      <w:pPr>
        <w:pStyle w:val="ListBullet"/>
        <w:ind w:left="0"/>
      </w:pPr>
      <w:r>
        <w:t>в основной части использовать только актуальные продуктовые имена (`Alpha.Server`, `Alpha.HMI`, `Alpha.HMI.WebViewer`, `Alpha.HMI.Alarms`, `Alpha.Historian`, `Alpha.DevStudio`, `Alpha.RMap`);</w:t>
      </w:r>
    </w:p>
    <w:p>
      <w:pPr>
        <w:pStyle w:val="ListBullet"/>
        <w:ind w:left="0"/>
      </w:pPr>
      <w:r>
        <w:t>старые названия из Excel оставлять только как соответствие исходному артикулу;</w:t>
      </w:r>
    </w:p>
    <w:p>
      <w:pPr>
        <w:pStyle w:val="ListBullet"/>
        <w:ind w:left="0"/>
      </w:pPr>
      <w:r>
        <w:t>акцентировать не «перечень DLL/лицензий», а **рост прикладовой ценности решения** в 2024–2026 гг.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