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СРАВНИТЕЛЬНАЯ ТАБЛИЦА ФУНКЦИОНАЛЬНОСТИ</w:t>
      </w:r>
    </w:p>
    <w:p>
      <w:pPr>
        <w:jc w:val="center"/>
      </w:pPr>
      <w:r>
        <w:rPr>
          <w:sz w:val="28"/>
        </w:rPr>
        <w:t>Формат «было / стало» по артикулам Alpha Platform</w:t>
      </w:r>
    </w:p>
    <w:p/>
    <w:p>
      <w:pPr>
        <w:pStyle w:val="Heading1"/>
      </w:pPr>
      <w:r>
        <w:t>Аналитическая справка</w:t>
      </w:r>
    </w:p>
    <w:p>
      <w:pPr>
        <w:pStyle w:val="Heading2"/>
      </w:pPr>
      <w:r>
        <w:t>по функциональному составу артикулов Alpha Platform и развитию функциональности в 2024–2026 гг.</w:t>
      </w:r>
    </w:p>
    <w:p>
      <w:pPr>
        <w:pStyle w:val="Heading2"/>
      </w:pPr>
      <w:r>
        <w:t>1. Назначение документа</w:t>
      </w:r>
    </w:p>
    <w:p>
      <w:r>
        <w:t>Настоящий документ подготовлен для сопоставления функционального состава артикулов Alpha Platform и отражения развития их возможностей в период 2024–2026 гг.</w:t>
      </w:r>
    </w:p>
    <w:p>
      <w:r>
        <w:t xml:space="preserve">Основной формат представления материала — сравнительная логика </w:t>
      </w:r>
      <w:r>
        <w:rPr>
          <w:b/>
        </w:rPr>
        <w:t>«было / стало»</w:t>
      </w:r>
      <w:r>
        <w:t>.</w:t>
      </w:r>
    </w:p>
    <w:p>
      <w:pPr>
        <w:pStyle w:val="Heading2"/>
      </w:pPr>
      <w:r>
        <w:t>2. Анализируемые артикула</w:t>
      </w:r>
    </w:p>
    <w:p>
      <w:pPr>
        <w:pStyle w:val="Heading3"/>
      </w:pPr>
      <w:r>
        <w:t>Семейство одиночно стоящего АРМ</w:t>
      </w:r>
    </w:p>
    <w:p>
      <w:pPr>
        <w:pStyle w:val="ListBullet"/>
        <w:ind w:left="0"/>
      </w:pPr>
      <w:r>
        <w:t>`TN-CPA-ARM-5K`</w:t>
      </w:r>
    </w:p>
    <w:p>
      <w:pPr>
        <w:pStyle w:val="ListBullet"/>
        <w:ind w:left="0"/>
      </w:pPr>
      <w:r>
        <w:t>`TN-CPA-ARM-10K`</w:t>
      </w:r>
    </w:p>
    <w:p>
      <w:pPr>
        <w:pStyle w:val="ListBullet"/>
        <w:ind w:left="0"/>
      </w:pPr>
      <w:r>
        <w:t>`TN-CPA-ARM-25K`</w:t>
      </w:r>
    </w:p>
    <w:p>
      <w:pPr>
        <w:pStyle w:val="Heading3"/>
      </w:pPr>
      <w:r>
        <w:t>Семейство сервера истории</w:t>
      </w:r>
    </w:p>
    <w:p>
      <w:pPr>
        <w:pStyle w:val="ListBullet"/>
        <w:ind w:left="0"/>
      </w:pPr>
      <w:r>
        <w:t>`TN-CPA-PHD500`</w:t>
      </w:r>
    </w:p>
    <w:p>
      <w:pPr>
        <w:pStyle w:val="ListBullet"/>
        <w:ind w:left="0"/>
      </w:pPr>
      <w:r>
        <w:t>`TN-CPA-PHD1K`</w:t>
      </w:r>
    </w:p>
    <w:p>
      <w:pPr>
        <w:pStyle w:val="Heading2"/>
      </w:pPr>
      <w:r>
        <w:t>3. Общий принцип сравнения</w:t>
      </w:r>
    </w:p>
    <w:p>
      <w:pPr>
        <w:pStyle w:val="ListBullet"/>
        <w:ind w:left="0"/>
      </w:pPr>
      <w:r>
        <w:t>**Было** — функциональное состояние компонента и решения до 2024 года.</w:t>
      </w:r>
    </w:p>
    <w:p>
      <w:pPr>
        <w:pStyle w:val="ListBullet"/>
        <w:ind w:left="0"/>
      </w:pPr>
      <w:r>
        <w:t>**Стало** — функциональные возможности, появившиеся или усилившиеся в 2024–2026 гг.</w:t>
      </w:r>
    </w:p>
    <w:p>
      <w:pPr>
        <w:pStyle w:val="ListBullet"/>
        <w:ind w:left="0"/>
      </w:pPr>
      <w:r>
        <w:t>Если артикула отличаются только лицензируемой ёмкостью, это отдельно отмечается в сравнении.</w:t>
      </w:r>
    </w:p>
    <w:p>
      <w:r>
        <w:t>---</w:t>
      </w:r>
    </w:p>
    <w:p>
      <w:pPr>
        <w:pStyle w:val="Heading1"/>
      </w:pPr>
      <w:r>
        <w:t>4. Сравнение по семейству ARM</w:t>
      </w:r>
    </w:p>
    <w:p>
      <w:pPr>
        <w:pStyle w:val="Heading2"/>
      </w:pPr>
      <w:r>
        <w:t>4.1. Сравнение артикулов семейства ARM в целом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D9D9"/>
          </w:tcPr>
          <w:p>
            <w:r>
              <w:t>Артикул</w:t>
            </w:r>
          </w:p>
        </w:tc>
        <w:tc>
          <w:tcPr>
            <w:tcW w:type="dxa" w:w="3230"/>
            <w:shd w:fill="D9D9D9"/>
          </w:tcPr>
          <w:p>
            <w:r>
              <w:t>Было до 2024 года</w:t>
            </w:r>
          </w:p>
        </w:tc>
        <w:tc>
          <w:tcPr>
            <w:tcW w:type="dxa" w:w="3230"/>
            <w:shd w:fill="D9D9D9"/>
          </w:tcPr>
          <w:p>
            <w:r>
              <w:t>Стало в 2024–2026 гг.</w:t>
            </w:r>
          </w:p>
        </w:tc>
      </w:tr>
      <w:tr>
        <w:tc>
          <w:tcPr>
            <w:tcW w:type="dxa" w:w="3230"/>
          </w:tcPr>
          <w:p>
            <w:r>
              <w:t>`TN-CPA-ARM-5K`</w:t>
            </w:r>
          </w:p>
        </w:tc>
        <w:tc>
          <w:tcPr>
            <w:tcW w:type="dxa" w:w="3230"/>
          </w:tcPr>
          <w:p>
            <w:r>
              <w:t>Одиночно стоящий АРМ с базовым серверным, HMI-, тревожным, трендовым и коммуникационным контуром для проектов уровня до 5K тегов.</w:t>
            </w:r>
          </w:p>
        </w:tc>
        <w:tc>
          <w:tcPr>
            <w:tcW w:type="dxa" w:w="3230"/>
          </w:tcPr>
          <w:p>
            <w:r>
              <w:t>Получил усиление за счёт развития Alpha.Server, HMI/WebViewer, Alarms, графического контура, коммуникационных модулей, буферизации, резервирования и истории. Масштаб остался на уровне `Server.Core 5000`.</w:t>
            </w:r>
          </w:p>
        </w:tc>
      </w:tr>
      <w:tr>
        <w:tc>
          <w:tcPr>
            <w:tcW w:type="dxa" w:w="3230"/>
          </w:tcPr>
          <w:p>
            <w:r>
              <w:t>`TN-CPA-ARM-10K`</w:t>
            </w:r>
          </w:p>
        </w:tc>
        <w:tc>
          <w:tcPr>
            <w:tcW w:type="dxa" w:w="3230"/>
          </w:tcPr>
          <w:p>
            <w:r>
              <w:t>Функционально соответствовал ARM-5K, но был рассчитан на более крупный объём сигналов.</w:t>
            </w:r>
          </w:p>
        </w:tc>
        <w:tc>
          <w:tcPr>
            <w:tcW w:type="dxa" w:w="3230"/>
          </w:tcPr>
          <w:p>
            <w:r>
              <w:t>Получил тот же функциональный прирост, что и ARM-5K, при большей лицензируемой ёмкости `Server.Core 10000`.</w:t>
            </w:r>
          </w:p>
        </w:tc>
      </w:tr>
      <w:tr>
        <w:tc>
          <w:tcPr>
            <w:tcW w:type="dxa" w:w="3230"/>
          </w:tcPr>
          <w:p>
            <w:r>
              <w:t>`TN-CPA-ARM-25K`</w:t>
            </w:r>
          </w:p>
        </w:tc>
        <w:tc>
          <w:tcPr>
            <w:tcW w:type="dxa" w:w="3230"/>
          </w:tcPr>
          <w:p>
            <w:r>
              <w:t>Наиболее ёмкий вариант одиночно стоящего АРМ с тем же логическим составом.</w:t>
            </w:r>
          </w:p>
        </w:tc>
        <w:tc>
          <w:tcPr>
            <w:tcW w:type="dxa" w:w="3230"/>
          </w:tcPr>
          <w:p>
            <w:r>
              <w:t>Сохранил общий функциональный контур семейства, но в сочетании с лицензией `Server.Core 25000` стал наиболее масштабным вариантом с расширенными возможностями интеграции и диспетчеризации.</w:t>
            </w:r>
          </w:p>
        </w:tc>
      </w:tr>
    </w:tbl>
    <w:p/>
    <w:p>
      <w:pPr>
        <w:pStyle w:val="Heading2"/>
      </w:pPr>
      <w:r>
        <w:t>4.2. Сравнительная таблица по ключевым компонентам ARM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D9D9"/>
          </w:tcPr>
          <w:p>
            <w:r>
              <w:t>Компонент</w:t>
            </w:r>
          </w:p>
        </w:tc>
        <w:tc>
          <w:tcPr>
            <w:tcW w:type="dxa" w:w="3230"/>
            <w:shd w:fill="D9D9D9"/>
          </w:tcPr>
          <w:p>
            <w:r>
              <w:t>Было до 2024 года</w:t>
            </w:r>
          </w:p>
        </w:tc>
        <w:tc>
          <w:tcPr>
            <w:tcW w:type="dxa" w:w="3230"/>
            <w:shd w:fill="D9D9D9"/>
          </w:tcPr>
          <w:p>
            <w:r>
              <w:t>Стало в 2024–2026 гг.</w:t>
            </w:r>
          </w:p>
        </w:tc>
      </w:tr>
      <w:tr>
        <w:tc>
          <w:tcPr>
            <w:tcW w:type="dxa" w:w="3230"/>
          </w:tcPr>
          <w:p>
            <w:r>
              <w:t>**Alpha.Server**</w:t>
            </w:r>
          </w:p>
        </w:tc>
        <w:tc>
          <w:tcPr>
            <w:tcW w:type="dxa" w:w="3230"/>
          </w:tcPr>
          <w:p>
            <w:r>
              <w:t>Базовое серверное ядро: сбор и обработка данных, логика, события, резервирование, обмен с HMI и Historian, поддержка основных промышленных протоколов.</w:t>
            </w:r>
          </w:p>
        </w:tc>
        <w:tc>
          <w:tcPr>
            <w:tcW w:type="dxa" w:w="3230"/>
          </w:tcPr>
          <w:p>
            <w:r>
              <w:t>Существенно расширены буферизация, транзакционная модель, резервирование, диагностика, фильтрация значений, сетевые сценарии `TCP ↔ HUB`, интеграция по `IEC-104`, `Modbus`, `OPC UA`, `SNMP`, `MQTT`, BACnet, а также серверная отказоустойчивость и управляемость.</w:t>
            </w:r>
          </w:p>
        </w:tc>
      </w:tr>
      <w:tr>
        <w:tc>
          <w:tcPr>
            <w:tcW w:type="dxa" w:w="3230"/>
          </w:tcPr>
          <w:p>
            <w:r>
              <w:t>**Alpha.HMI**</w:t>
            </w:r>
          </w:p>
        </w:tc>
        <w:tc>
          <w:tcPr>
            <w:tcW w:type="dxa" w:w="3230"/>
          </w:tcPr>
          <w:p>
            <w:r>
              <w:t>Разработка и исполнение мнемосхем, экранных форм, графических элементов и операторских интерфейсов.</w:t>
            </w:r>
          </w:p>
        </w:tc>
        <w:tc>
          <w:tcPr>
            <w:tcW w:type="dxa" w:w="3230"/>
          </w:tcPr>
          <w:p>
            <w:r>
              <w:t>Расширены навигация, поиск, переходы, работа с проектом, печать, редактирование графических объектов, контрольные значения, скриптовые и UI-возможности. Повышена стабильность и удобство разработки.</w:t>
            </w:r>
          </w:p>
        </w:tc>
      </w:tr>
      <w:tr>
        <w:tc>
          <w:tcPr>
            <w:tcW w:type="dxa" w:w="3230"/>
          </w:tcPr>
          <w:p>
            <w:r>
              <w:t>**Alpha.HMI.WebViewer**</w:t>
            </w:r>
          </w:p>
        </w:tc>
        <w:tc>
          <w:tcPr>
            <w:tcW w:type="dxa" w:w="3230"/>
          </w:tcPr>
          <w:p>
            <w:r>
              <w:t>Веб-доступ к HMI-проектам через браузер.</w:t>
            </w:r>
          </w:p>
        </w:tc>
        <w:tc>
          <w:tcPr>
            <w:tcW w:type="dxa" w:w="3230"/>
          </w:tcPr>
          <w:p>
            <w:r>
              <w:t>Расширено взаимодействие через URL, улучшена работа дерева и canvas-компонентов, повышена точность позиционирования, снижено потребление памяти, улучшены масштабирование, фреймы, печать и общая стабильность веб-интерфейса.</w:t>
            </w:r>
          </w:p>
        </w:tc>
      </w:tr>
      <w:tr>
        <w:tc>
          <w:tcPr>
            <w:tcW w:type="dxa" w:w="3230"/>
          </w:tcPr>
          <w:p>
            <w:r>
              <w:t>**Alpha.HMI.Alarms**</w:t>
            </w:r>
          </w:p>
        </w:tc>
        <w:tc>
          <w:tcPr>
            <w:tcW w:type="dxa" w:w="3230"/>
          </w:tcPr>
          <w:p>
            <w:r>
              <w:t>Отображение тревог и событий, фильтрация, квитирование, печать и экспорт.</w:t>
            </w:r>
          </w:p>
        </w:tc>
        <w:tc>
          <w:tcPr>
            <w:tcW w:type="dxa" w:w="3230"/>
          </w:tcPr>
          <w:p>
            <w:r>
              <w:t>Добавлены расширенные тематические настройки, более гибкая работа со звуком, улучшены печать, экспорт, работа с историей, фильтрами, пользовательскими столбцами и Linux-режимом. Улучшена связка с серверным событийнным контуром.</w:t>
            </w:r>
          </w:p>
        </w:tc>
      </w:tr>
      <w:tr>
        <w:tc>
          <w:tcPr>
            <w:tcW w:type="dxa" w:w="3230"/>
          </w:tcPr>
          <w:p>
            <w:r>
              <w:t>**Трендовый / графический контур Alpha.HMI**</w:t>
            </w:r>
          </w:p>
        </w:tc>
        <w:tc>
          <w:tcPr>
            <w:tcW w:type="dxa" w:w="3230"/>
          </w:tcPr>
          <w:p>
            <w:r>
              <w:t>Отображение оперативных и исторических графиков, легенд, диапазонов и пользовательского дерева.</w:t>
            </w:r>
          </w:p>
        </w:tc>
        <w:tc>
          <w:tcPr>
            <w:tcW w:type="dxa" w:w="3230"/>
          </w:tcPr>
          <w:p>
            <w:r>
              <w:t>Добавлены компактные трендовые индикаторы, колонтитулы, права на печать/экспорт, новые режимы графиков и выносок репера, расширенная загрузка, линейный пересчёт данных, улучшенные минитренды и более качественная работа в WebViewer.</w:t>
            </w:r>
          </w:p>
        </w:tc>
      </w:tr>
      <w:tr>
        <w:tc>
          <w:tcPr>
            <w:tcW w:type="dxa" w:w="3230"/>
          </w:tcPr>
          <w:p>
            <w:r>
              <w:t>**Alpha.HMI.Tables / CommonLib**</w:t>
            </w:r>
          </w:p>
        </w:tc>
        <w:tc>
          <w:tcPr>
            <w:tcW w:type="dxa" w:w="3230"/>
          </w:tcPr>
          <w:p>
            <w:r>
              <w:t>Табличное представление данных и базовые HMI-библиотеки.</w:t>
            </w:r>
          </w:p>
        </w:tc>
        <w:tc>
          <w:tcPr>
            <w:tcW w:type="dxa" w:w="3230"/>
          </w:tcPr>
          <w:p>
            <w:r>
              <w:t>Исправлены ошибки масштабирования, PDF-экспорта, отрисовки и взаимодействия с алармами/уставками. Добавлены новые вспомогательные компоненты, улучшены темы оформления, поиск и работа временных редакторов.</w:t>
            </w:r>
          </w:p>
        </w:tc>
      </w:tr>
      <w:tr>
        <w:tc>
          <w:tcPr>
            <w:tcW w:type="dxa" w:w="3230"/>
          </w:tcPr>
          <w:p>
            <w:r>
              <w:t>**Alpha.DevStudio**</w:t>
            </w:r>
          </w:p>
        </w:tc>
        <w:tc>
          <w:tcPr>
            <w:tcW w:type="dxa" w:w="3230"/>
          </w:tcPr>
          <w:p>
            <w:r>
              <w:t>Инженерная среда проектирования, компиляции и развёртывания.</w:t>
            </w:r>
          </w:p>
        </w:tc>
        <w:tc>
          <w:tcPr>
            <w:tcW w:type="dxa" w:w="3230"/>
          </w:tcPr>
          <w:p>
            <w:r>
              <w:t>Добавлены CLI-публикация и сборка отдельных проектов, расширены средства проектирования событий, BACnet, SQL Connector, Snapshot, UNET, SMTP и трендового дерева, улучшен контроль корректности конфигураций и жизненный цикл развёртывания.</w:t>
            </w:r>
          </w:p>
        </w:tc>
      </w:tr>
      <w:tr>
        <w:tc>
          <w:tcPr>
            <w:tcW w:type="dxa" w:w="3230"/>
          </w:tcPr>
          <w:p>
            <w:r>
              <w:t>**Коммуникационные модули**</w:t>
            </w:r>
          </w:p>
        </w:tc>
        <w:tc>
          <w:tcPr>
            <w:tcW w:type="dxa" w:w="3230"/>
          </w:tcPr>
          <w:p>
            <w:r>
              <w:t>Базовый обмен по промышленным протоколам и базовые интеграции с оборудованием и внешними системами.</w:t>
            </w:r>
          </w:p>
        </w:tc>
        <w:tc>
          <w:tcPr>
            <w:tcW w:type="dxa" w:w="3230"/>
          </w:tcPr>
          <w:p>
            <w:r>
              <w:t>Существенно расширены сценарии и надёжность работы `IEC-101`, `IEC-104`, `Modbus RTU/TCP`, `OPC UA`, `SNMP`, `SQL Connector`, `HUB`, `Snapshot`, `Data Buffer`, `ProcessMonitor`, `Syslog Client`.</w:t>
            </w:r>
          </w:p>
        </w:tc>
      </w:tr>
    </w:tbl>
    <w:p/>
    <w:p>
      <w:r>
        <w:t>---</w:t>
      </w:r>
    </w:p>
    <w:p>
      <w:pPr>
        <w:pStyle w:val="Heading1"/>
      </w:pPr>
      <w:r>
        <w:t>5. Сравнение по семейству PHD</w:t>
      </w:r>
    </w:p>
    <w:p>
      <w:pPr>
        <w:pStyle w:val="Heading2"/>
      </w:pPr>
      <w:r>
        <w:t>5.1. Сравнение артикулов семейства PHD в целом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D9D9"/>
          </w:tcPr>
          <w:p>
            <w:r>
              <w:t>Артикул</w:t>
            </w:r>
          </w:p>
        </w:tc>
        <w:tc>
          <w:tcPr>
            <w:tcW w:type="dxa" w:w="3230"/>
            <w:shd w:fill="D9D9D9"/>
          </w:tcPr>
          <w:p>
            <w:r>
              <w:t>Было до 2024 года</w:t>
            </w:r>
          </w:p>
        </w:tc>
        <w:tc>
          <w:tcPr>
            <w:tcW w:type="dxa" w:w="3230"/>
            <w:shd w:fill="D9D9D9"/>
          </w:tcPr>
          <w:p>
            <w:r>
              <w:t>Стало в 2024–2026 гг.</w:t>
            </w:r>
          </w:p>
        </w:tc>
      </w:tr>
      <w:tr>
        <w:tc>
          <w:tcPr>
            <w:tcW w:type="dxa" w:w="3230"/>
          </w:tcPr>
          <w:p>
            <w:r>
              <w:t>`TN-CPA-PHD500`</w:t>
            </w:r>
          </w:p>
        </w:tc>
        <w:tc>
          <w:tcPr>
            <w:tcW w:type="dxa" w:w="3230"/>
          </w:tcPr>
          <w:p>
            <w:r>
              <w:t>Сервер истории с базовой функциональностью хранения значений и событий и лицензией уровня `Historian 500`.</w:t>
            </w:r>
          </w:p>
        </w:tc>
        <w:tc>
          <w:tcPr>
            <w:tcW w:type="dxa" w:w="3230"/>
          </w:tcPr>
          <w:p>
            <w:r>
              <w:t>После перехода на поколение `Alpha.Historian 4.x` получил более современную архитектуру хранения, повышение производительности, улучшенный мониторинг, CLI и улучшенный SQL-доступ.</w:t>
            </w:r>
          </w:p>
        </w:tc>
      </w:tr>
      <w:tr>
        <w:tc>
          <w:tcPr>
            <w:tcW w:type="dxa" w:w="3230"/>
          </w:tcPr>
          <w:p>
            <w:r>
              <w:t>`TN-CPA-PHD1K`</w:t>
            </w:r>
          </w:p>
        </w:tc>
        <w:tc>
          <w:tcPr>
            <w:tcW w:type="dxa" w:w="3230"/>
          </w:tcPr>
          <w:p>
            <w:r>
              <w:t>Функционально соответствовал PHD500, но был рассчитан на больший объём исторических данных.</w:t>
            </w:r>
          </w:p>
        </w:tc>
        <w:tc>
          <w:tcPr>
            <w:tcW w:type="dxa" w:w="3230"/>
          </w:tcPr>
          <w:p>
            <w:r>
              <w:t>Получил тот же функциональный прирост, что и PHD500, но с лицензией `Historian 1000`, то есть для большего масштаба историзации.</w:t>
            </w:r>
          </w:p>
        </w:tc>
      </w:tr>
    </w:tbl>
    <w:p/>
    <w:p>
      <w:pPr>
        <w:pStyle w:val="Heading2"/>
      </w:pPr>
      <w:r>
        <w:t>5.2. Сравнительная таблица по ключевым компонентам PHD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D9D9"/>
          </w:tcPr>
          <w:p>
            <w:r>
              <w:t>Компонент</w:t>
            </w:r>
          </w:p>
        </w:tc>
        <w:tc>
          <w:tcPr>
            <w:tcW w:type="dxa" w:w="3230"/>
            <w:shd w:fill="D9D9D9"/>
          </w:tcPr>
          <w:p>
            <w:r>
              <w:t>Было до 2024 года</w:t>
            </w:r>
          </w:p>
        </w:tc>
        <w:tc>
          <w:tcPr>
            <w:tcW w:type="dxa" w:w="3230"/>
            <w:shd w:fill="D9D9D9"/>
          </w:tcPr>
          <w:p>
            <w:r>
              <w:t>Стало в 2024–2026 гг.</w:t>
            </w:r>
          </w:p>
        </w:tc>
      </w:tr>
      <w:tr>
        <w:tc>
          <w:tcPr>
            <w:tcW w:type="dxa" w:w="3230"/>
          </w:tcPr>
          <w:p>
            <w:r>
              <w:t>**Alpha.Historian**</w:t>
            </w:r>
          </w:p>
        </w:tc>
        <w:tc>
          <w:tcPr>
            <w:tcW w:type="dxa" w:w="3230"/>
          </w:tcPr>
          <w:p>
            <w:r>
              <w:t>Исторический сервер для хранения значений и событий на базе архитектуры предыдущего поколения.</w:t>
            </w:r>
          </w:p>
        </w:tc>
        <w:tc>
          <w:tcPr>
            <w:tcW w:type="dxa" w:w="3230"/>
          </w:tcPr>
          <w:p>
            <w:r>
              <w:t>Переход к `Alpha.Historian 4.x`: формат БД `4x`, запись с произвольной меткой времени, более высокая производительность, снижение накладных расходов по памяти и диску, новая конфигурационная модель, мониторинг, CLI и централизация политик через Alpha.Security.</w:t>
            </w:r>
          </w:p>
        </w:tc>
      </w:tr>
      <w:tr>
        <w:tc>
          <w:tcPr>
            <w:tcW w:type="dxa" w:w="3230"/>
          </w:tcPr>
          <w:p>
            <w:r>
              <w:t>**Alpha.RMap**</w:t>
            </w:r>
          </w:p>
        </w:tc>
        <w:tc>
          <w:tcPr>
            <w:tcW w:type="dxa" w:w="3230"/>
          </w:tcPr>
          <w:p>
            <w:r>
              <w:t>SQL-доступ к оперативным и историческим данным в реляционном виде.</w:t>
            </w:r>
          </w:p>
        </w:tc>
        <w:tc>
          <w:tcPr>
            <w:tcW w:type="dxa" w:w="3230"/>
          </w:tcPr>
          <w:p>
            <w:r>
              <w:t>Ускорено выполнение исторических запросов по именам сигналов, что повысило прикладовую ценность аналитики и интеграции с внешними системами.</w:t>
            </w:r>
          </w:p>
        </w:tc>
      </w:tr>
      <w:tr>
        <w:tc>
          <w:tcPr>
            <w:tcW w:type="dxa" w:w="3230"/>
          </w:tcPr>
          <w:p>
            <w:r>
              <w:t>**Alpha.DevStudio**</w:t>
            </w:r>
          </w:p>
        </w:tc>
        <w:tc>
          <w:tcPr>
            <w:tcW w:type="dxa" w:w="3230"/>
          </w:tcPr>
          <w:p>
            <w:r>
              <w:t>Средство проектирования и развёртывания исторических и серверных конфигураций.</w:t>
            </w:r>
          </w:p>
        </w:tc>
        <w:tc>
          <w:tcPr>
            <w:tcW w:type="dxa" w:w="3230"/>
          </w:tcPr>
          <w:p>
            <w:r>
              <w:t>Улучшены публикация, CLI, работа с проектами, качество построения конфигураций и сопровождения исторического контура.</w:t>
            </w:r>
          </w:p>
        </w:tc>
      </w:tr>
      <w:tr>
        <w:tc>
          <w:tcPr>
            <w:tcW w:type="dxa" w:w="3230"/>
          </w:tcPr>
          <w:p>
            <w:r>
              <w:t>**Historian 500 / 1000**</w:t>
            </w:r>
          </w:p>
        </w:tc>
        <w:tc>
          <w:tcPr>
            <w:tcW w:type="dxa" w:w="3230"/>
          </w:tcPr>
          <w:p>
            <w:r>
              <w:t>Различие между артикулами определялось только лицензируемой ёмкостью хранилища.</w:t>
            </w:r>
          </w:p>
        </w:tc>
        <w:tc>
          <w:tcPr>
            <w:tcW w:type="dxa" w:w="3230"/>
          </w:tcPr>
          <w:p>
            <w:r>
              <w:t>Различие между артикулами по-прежнему осталось масштабным, однако сама прикладовая ценность обоих вариантов выросла благодаря переходу на новую историческую платформу и ускорению SQL-доступа.</w:t>
            </w:r>
          </w:p>
        </w:tc>
      </w:tr>
    </w:tbl>
    <w:p/>
    <w:p>
      <w:r>
        <w:t>---</w:t>
      </w:r>
    </w:p>
    <w:p>
      <w:pPr>
        <w:pStyle w:val="Heading1"/>
      </w:pPr>
      <w:r>
        <w:t>6. Итоговая таблица «было / стало» по семействам артикулов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D9D9"/>
          </w:tcPr>
          <w:p>
            <w:r>
              <w:t>Семейство</w:t>
            </w:r>
          </w:p>
        </w:tc>
        <w:tc>
          <w:tcPr>
            <w:tcW w:type="dxa" w:w="3230"/>
            <w:shd w:fill="D9D9D9"/>
          </w:tcPr>
          <w:p>
            <w:r>
              <w:t>Было до 2024 года</w:t>
            </w:r>
          </w:p>
        </w:tc>
        <w:tc>
          <w:tcPr>
            <w:tcW w:type="dxa" w:w="3230"/>
            <w:shd w:fill="D9D9D9"/>
          </w:tcPr>
          <w:p>
            <w:r>
              <w:t>Стало в 2024–2026 гг.</w:t>
            </w:r>
          </w:p>
        </w:tc>
      </w:tr>
      <w:tr>
        <w:tc>
          <w:tcPr>
            <w:tcW w:type="dxa" w:w="3230"/>
          </w:tcPr>
          <w:p>
            <w:r>
              <w:t>**ARM**</w:t>
            </w:r>
          </w:p>
        </w:tc>
        <w:tc>
          <w:tcPr>
            <w:tcW w:type="dxa" w:w="3230"/>
          </w:tcPr>
          <w:p>
            <w:r>
              <w:t>Сформированный контур одиночно стоящего АРМ: серверное ядро, визуализация, тревоги, тренды, веб-доступ и промышленная интеграция.</w:t>
            </w:r>
          </w:p>
        </w:tc>
        <w:tc>
          <w:tcPr>
            <w:tcW w:type="dxa" w:w="3230"/>
          </w:tcPr>
          <w:p>
            <w:r>
              <w:t>Контур стал заметно более зрелым: усилены серверная платформа, HMI/WebViewer, тревожный и трендовый интерфейсы, инженерная среда, коммуникационные протоколы, резервирование, буферизация и диагностика.</w:t>
            </w:r>
          </w:p>
        </w:tc>
      </w:tr>
      <w:tr>
        <w:tc>
          <w:tcPr>
            <w:tcW w:type="dxa" w:w="3230"/>
          </w:tcPr>
          <w:p>
            <w:r>
              <w:t>**PHD**</w:t>
            </w:r>
          </w:p>
        </w:tc>
        <w:tc>
          <w:tcPr>
            <w:tcW w:type="dxa" w:w="3230"/>
          </w:tcPr>
          <w:p>
            <w:r>
              <w:t>Сформированный сервер истории на базе прежнего поколения Historian и SQL-доступа через RMap.</w:t>
            </w:r>
          </w:p>
        </w:tc>
        <w:tc>
          <w:tcPr>
            <w:tcW w:type="dxa" w:w="3230"/>
          </w:tcPr>
          <w:p>
            <w:r>
              <w:t>Получено новое поколение исторического контура: `Alpha.Historian 4.x`, более высокая производительность, гибкость хранения, мониторинг, CLI и более быстрый SQL-доступ.</w:t>
            </w:r>
          </w:p>
        </w:tc>
      </w:tr>
    </w:tbl>
    <w:p/>
    <w:p>
      <w:r>
        <w:t>---</w:t>
      </w:r>
    </w:p>
    <w:p>
      <w:pPr>
        <w:pStyle w:val="Heading1"/>
      </w:pPr>
      <w:r>
        <w:t>7. Вывод</w:t>
      </w:r>
    </w:p>
    <w:p>
      <w:r>
        <w:t xml:space="preserve">Для официального документа формат </w:t>
      </w:r>
      <w:r>
        <w:rPr>
          <w:b/>
        </w:rPr>
        <w:t>«было / стало»</w:t>
      </w:r>
      <w:r>
        <w:t xml:space="preserve"> наглядно показывает, что:</w:t>
      </w:r>
    </w:p>
    <w:p>
      <w:r>
        <w:t>1. различия внутри каждого семейства артикулов определяются прежде всего лицензируемой ёмкостью;</w:t>
      </w:r>
    </w:p>
    <w:p>
      <w:r>
        <w:t>2. основной прирост прикладовой ценности в 2024–2026 гг. обеспечен развитием продуктовых платформенных компонентов;</w:t>
      </w:r>
    </w:p>
    <w:p>
      <w:r>
        <w:t>3. семейство ARM усилилось в первую очередь за счёт развития серверного, HMI- и интеграционного контуров;</w:t>
      </w:r>
    </w:p>
    <w:p>
      <w:r>
        <w:t>4. семейство PHD — за счёт перехода на новое поколение историзации и усиления доступа к историческим данным.</w:t>
      </w:r>
    </w:p>
    <w:p>
      <w:pPr>
        <w:pStyle w:val="Heading2"/>
      </w:pPr>
      <w:r>
        <w:t>8. Рекомендация</w:t>
      </w:r>
    </w:p>
    <w:p>
      <w:r>
        <w:t xml:space="preserve">Для итоговой официальной редакции рекомендуется включить таблицы из настоящего документа как отдельный раздел </w:t>
      </w:r>
      <w:r>
        <w:rPr>
          <w:b/>
        </w:rPr>
        <w:t>«Сравнение функциональности: было / стало»</w:t>
      </w:r>
      <w:r>
        <w:t xml:space="preserve"> непосредственно после описания каждого семейства артикулов.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