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single" w:color="c8a046" w:sz="24"/>
              <w:right w:val="none" w:color="FFFFFF" w:sz="0"/>
            </w:tcBorders>
            <w:shd w:fill="0b1f3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4eed8"/>
                <w:spacing w:val="60"/>
                <w:sz w:val="28"/>
                <w:szCs w:val="28"/>
              </w:rPr>
              <w:t xml:space="preserve">INTEGRATED IT SUPPORT INC.</w:t>
            </w:r>
          </w:p>
          <w:p>
            <w:pPr>
              <w:spacing w:after="14"/>
            </w:pPr>
            <w:r>
              <w:rPr>
                <w:rFonts w:ascii="Calibri" w:cs="Calibri" w:eastAsia="Calibri" w:hAnsi="Calibri"/>
                <w:i/>
                <w:iCs/>
                <w:color w:val="c8a046"/>
                <w:sz w:val="17"/>
                <w:szCs w:val="17"/>
              </w:rPr>
              <w:t xml:space="preserve">Applied AI · Managed IT Services · Multi-Agent Systems on Anthropic Claude</w:t>
            </w:r>
          </w:p>
          <w:p>
            <w:r>
              <w:rPr>
                <w:rFonts w:ascii="Calibri" w:cs="Calibri" w:eastAsia="Calibri" w:hAnsi="Calibri"/>
                <w:color w:val="d9d2b5"/>
                <w:spacing w:val="80"/>
                <w:sz w:val="17"/>
                <w:szCs w:val="17"/>
              </w:rPr>
              <w:t xml:space="preserve">CAPABILITY STATEMENT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/>
      </w:r>
    </w:p>
    <w:p>
      <w:pPr>
        <w:pBdr>
          <w:bottom w:val="single" w:color="c8a046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0b1f3a"/>
          <w:spacing w:val="40"/>
          <w:sz w:val="17"/>
          <w:szCs w:val="17"/>
        </w:rPr>
        <w:t xml:space="preserve">CORPORATE SNAPSHOT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407"/>
                <w:sz w:val="18"/>
                <w:szCs w:val="18"/>
              </w:rPr>
              <w:t xml:space="preserve">Founded: </w:t>
            </w:r>
            <w:r>
              <w:rPr>
                <w:rFonts w:ascii="Calibri" w:cs="Calibri" w:eastAsia="Calibri" w:hAnsi="Calibri"/>
                <w:color w:val="1a1407"/>
                <w:sz w:val="18"/>
                <w:szCs w:val="18"/>
              </w:rPr>
              <w:t xml:space="preserve">2023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407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a1407"/>
                <w:sz w:val="18"/>
                <w:szCs w:val="18"/>
              </w:rPr>
              <w:t xml:space="preserve">Whitby, Ontario, Canada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407"/>
                <w:sz w:val="18"/>
                <w:szCs w:val="18"/>
              </w:rPr>
              <w:t xml:space="preserve">Ownership: </w:t>
            </w:r>
            <w:r>
              <w:rPr>
                <w:rFonts w:ascii="Calibri" w:cs="Calibri" w:eastAsia="Calibri" w:hAnsi="Calibri"/>
                <w:color w:val="1a1407"/>
                <w:sz w:val="18"/>
                <w:szCs w:val="18"/>
              </w:rPr>
              <w:t xml:space="preserve">Privately held, Canadian-controlled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407"/>
                <w:sz w:val="18"/>
                <w:szCs w:val="18"/>
              </w:rPr>
              <w:t xml:space="preserve">Size: </w:t>
            </w:r>
            <w:r>
              <w:rPr>
                <w:rFonts w:ascii="Calibri" w:cs="Calibri" w:eastAsia="Calibri" w:hAnsi="Calibri"/>
                <w:color w:val="1a1407"/>
                <w:sz w:val="18"/>
                <w:szCs w:val="18"/>
              </w:rPr>
              <w:t xml:space="preserve">Founder-led, 2–10 staff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407"/>
                <w:sz w:val="18"/>
                <w:szCs w:val="18"/>
              </w:rPr>
              <w:t xml:space="preserve">Web: </w:t>
            </w:r>
            <w:hyperlink w:history="1" r:id="rIdrkqnw2skorcz8xhcr8wwm">
              <w:r>
                <w:rPr>
                  <w:rFonts w:ascii="Calibri" w:cs="Calibri" w:eastAsia="Calibri" w:hAnsi="Calibri"/>
                  <w:color w:val="0b1f3a"/>
                  <w:sz w:val="18"/>
                  <w:szCs w:val="18"/>
                </w:rPr>
                <w:t xml:space="preserve">iisupp.net</w:t>
              </w:r>
            </w:hyperlink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407"/>
                <w:sz w:val="18"/>
                <w:szCs w:val="18"/>
              </w:rPr>
              <w:t xml:space="preserve">NAICS: </w:t>
            </w:r>
            <w:r>
              <w:rPr>
                <w:rFonts w:ascii="Calibri" w:cs="Calibri" w:eastAsia="Calibri" w:hAnsi="Calibri"/>
                <w:color w:val="1a1407"/>
                <w:sz w:val="18"/>
                <w:szCs w:val="18"/>
              </w:rPr>
              <w:t xml:space="preserve">541510 · 541511 · 541512 · 541513 · 541514 · 541515 · 541519 · 541611 · 541618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407"/>
                <w:sz w:val="18"/>
                <w:szCs w:val="18"/>
              </w:rPr>
              <w:t xml:space="preserve">GSIN: </w:t>
            </w:r>
            <w:r>
              <w:rPr>
                <w:rFonts w:ascii="Calibri" w:cs="Calibri" w:eastAsia="Calibri" w:hAnsi="Calibri"/>
                <w:color w:val="1a1407"/>
                <w:sz w:val="18"/>
                <w:szCs w:val="18"/>
              </w:rPr>
              <w:t xml:space="preserve">D302A–D399A (IT Professional Services), D302E (Managed Services), D399Z (Other IT)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407"/>
                <w:sz w:val="18"/>
                <w:szCs w:val="18"/>
              </w:rPr>
              <w:t xml:space="preserve">PBN: </w:t>
            </w:r>
            <w:r>
              <w:rPr>
                <w:rFonts w:ascii="Calibri" w:cs="Calibri" w:eastAsia="Calibri" w:hAnsi="Calibri"/>
                <w:color w:val="1a1407"/>
                <w:sz w:val="18"/>
                <w:szCs w:val="18"/>
              </w:rPr>
              <w:t xml:space="preserve">Active · Federal procurement registered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407"/>
                <w:sz w:val="18"/>
                <w:szCs w:val="18"/>
              </w:rPr>
              <w:t xml:space="preserve">Affiliations: </w:t>
            </w:r>
            <w:r>
              <w:rPr>
                <w:rFonts w:ascii="Calibri" w:cs="Calibri" w:eastAsia="Calibri" w:hAnsi="Calibri"/>
                <w:color w:val="1a1407"/>
                <w:sz w:val="18"/>
                <w:szCs w:val="18"/>
              </w:rPr>
              <w:t xml:space="preserve">Anthropic Partner Network (Services Partner — application in review)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407"/>
                <w:sz w:val="18"/>
                <w:szCs w:val="18"/>
              </w:rPr>
              <w:t xml:space="preserve">Insurance: </w:t>
            </w:r>
            <w:r>
              <w:rPr>
                <w:rFonts w:ascii="Calibri" w:cs="Calibri" w:eastAsia="Calibri" w:hAnsi="Calibri"/>
                <w:color w:val="1a1407"/>
                <w:sz w:val="18"/>
                <w:szCs w:val="18"/>
              </w:rPr>
              <w:t xml:space="preserve">Professional liability available upon engagement</w:t>
            </w:r>
          </w:p>
        </w:tc>
      </w:tr>
    </w:tbl>
    <w:p>
      <w:pPr>
        <w:pBdr>
          <w:bottom w:val="single" w:color="c8a046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0b1f3a"/>
          <w:spacing w:val="40"/>
          <w:sz w:val="17"/>
          <w:szCs w:val="17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Applied AI &amp; Multi-Agent Systems on Anthropic Claude + Model Context Protocol (MCP)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Managed IT Services for regulated industries (financial services, healthcare, legal, public sector)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Microsoft 365, Azure, Entra ID, Intune — full hybrid identity and endpoint management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Cybersecurity &amp; compliance posture: SOX, OSFI, PIPEDA, PHIPA, SOC 2-ready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AI-assisted L1/L2/L3 service desk, ticket triage automation, ServiceNow ITSM / ITOM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Capital-markets trader-floor white-glove support, 24×7 incident command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M365 / Windows migration projects (Autopilot zero-touch, conditional access, GPO)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Workflow automation: Python, PowerShell, VB.NET, Power Automate</w:t>
      </w:r>
    </w:p>
    <w:p>
      <w:pPr>
        <w:pBdr>
          <w:bottom w:val="single" w:color="c8a046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0b1f3a"/>
          <w:spacing w:val="40"/>
          <w:sz w:val="17"/>
          <w:szCs w:val="17"/>
        </w:rPr>
        <w:t xml:space="preserve">PAST PERFORMANCE — FOUNDER PORTFOLIO (OPERATING DISCIPLINE IIS BRINGS TO EVERY ENGAGEMENT)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Raymond James (2020–Present) — Senior engineering inside OSFI/IIROC capital markets. AI-ready KB, CMDB lifecycle (CSDM), ServiceNow workflow automation, major-incident commander.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RBC — Capital Markets, Wealth, Treasury (2013–2017) — Service-desk leadership 24×7. VB.NET diagnostic tool + VBA automation recovering 800+ analyst hours/year. Six Sigma.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Scotia Bank (Contract 2019–2020) — Executive support during Windows 10 / Office 365 migration. 100+ daily laptop deployments.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City of Toronto (2012–2013) — Enterprise infrastructure modernization. Legacy monitoring → ServiceNow ITOM. Municipal compliance posture, hybrid cloud/on-prem.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Ontario Health (2019) — EMR / clinical information systems. PHIPA-compliant configurations, UAT validation, clinician training and KB authorship.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Cavalluzzo LLP (2018–2019) — Full-stack support for 80–90 lawyers and staff. Windows 10 rollout, Worldox → NetDocs document management migration, automation scripting.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IBM (2011–2012) — Incident-queue ownership across Peregrine ticketing, AMT account provisioning, full-stack end-user support including BlackBerry BES, encrypted USB.</w:t>
      </w:r>
    </w:p>
    <w:p>
      <w:pPr>
        <w:pBdr>
          <w:bottom w:val="single" w:color="c8a046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0b1f3a"/>
          <w:spacing w:val="40"/>
          <w:sz w:val="17"/>
          <w:szCs w:val="17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Operate the ARIA platform — production multi-agent system on Anthropic Claude with 9+ autonomous scheduled agents (procurement intelligence, prospect enrichment, IT diagnostic copilots, operational briefings).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13+ years senior engineering inside regulated financial services brings audit-ready operating discipline to every engagement.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Publish the Growth Library — original IT, AI, and operations knowledge packs for human and AI consumption.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Founder-led delivery: the senior engineer designing the solution is the senior engineer running it.</w:t>
      </w:r>
    </w:p>
    <w:p>
      <w:pPr>
        <w:pBdr>
          <w:bottom w:val="single" w:color="c8a046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0b1f3a"/>
          <w:spacing w:val="40"/>
          <w:sz w:val="17"/>
          <w:szCs w:val="17"/>
        </w:rPr>
        <w:t xml:space="preserve">CERTIFICATIONS &amp; STANDARDS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Anthropic Academy: Claude 101 · Claude Code 101 · Introduction to Claude Cowork · Claude Code in Action · AI Fluency (Foundations) — 2026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Anthropic Academy: Building with the Claude API — in progress 2026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Project Management &amp; Agile Project Management Certifications — 2023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ITIL Foundations — 2017 (RBC)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Six Sigma Yellow Belt — 2017 (RBC)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a1407"/>
          <w:sz w:val="18"/>
          <w:szCs w:val="18"/>
        </w:rPr>
        <w:t xml:space="preserve">Computer Networking &amp; Technical Support, Advanced Diploma — Seneca College</w:t>
      </w:r>
    </w:p>
    <w:p>
      <w:pPr>
        <w:pBdr>
          <w:bottom w:val="single" w:color="c8a046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0b1f3a"/>
          <w:spacing w:val="40"/>
          <w:sz w:val="17"/>
          <w:szCs w:val="17"/>
        </w:rPr>
        <w:t xml:space="preserve">CONTACT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407"/>
          <w:sz w:val="18"/>
          <w:szCs w:val="18"/>
        </w:rPr>
        <w:t xml:space="preserve">Ahmad Wasee — Founder &amp; Senior AI Engineer · </w:t>
      </w:r>
      <w:r>
        <w:rPr>
          <w:rFonts w:ascii="Calibri" w:cs="Calibri" w:eastAsia="Calibri" w:hAnsi="Calibri"/>
          <w:color w:val="1a1407"/>
          <w:sz w:val="18"/>
          <w:szCs w:val="18"/>
        </w:rPr>
        <w:t xml:space="preserve">ahmad.wasee@iisupp.net</w:t>
      </w:r>
      <w:r>
        <w:rPr>
          <w:rFonts w:ascii="Calibri" w:cs="Calibri" w:eastAsia="Calibri" w:hAnsi="Calibri"/>
          <w:color w:val="1a1407"/>
          <w:sz w:val="18"/>
          <w:szCs w:val="18"/>
        </w:rPr>
        <w:t xml:space="preserve"> · +1 647-581-3182 · </w:t>
      </w:r>
      <w:hyperlink w:history="1" r:id="rIdxecnb_mdp8qo-2dshxkfb">
        <w:r>
          <w:rPr>
            <w:rFonts w:ascii="Calibri" w:cs="Calibri" w:eastAsia="Calibri" w:hAnsi="Calibri"/>
            <w:color w:val="0b1f3a"/>
            <w:sz w:val="18"/>
            <w:szCs w:val="18"/>
          </w:rPr>
          <w:t xml:space="preserve">iisupp.net</w:t>
        </w:r>
      </w:hyperlink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c8a0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40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kqnw2skorcz8xhcr8wwm" Type="http://schemas.openxmlformats.org/officeDocument/2006/relationships/hyperlink" Target="https://iisupp.net" TargetMode="External"/><Relationship Id="rIdxecnb_mdp8qo-2dshxkfb" Type="http://schemas.openxmlformats.org/officeDocument/2006/relationships/hyperlink" Target="https://iisupp.ne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Capability Statement</dc:title>
  <dc:creator>Integrated IT Support Inc.</dc:creator>
  <dc:description>IIS Capability Statement for federal + provincial procurement.</dc:description>
  <cp:lastModifiedBy>Un-named</cp:lastModifiedBy>
  <cp:revision>1</cp:revision>
  <dcterms:created xsi:type="dcterms:W3CDTF">2026-06-15T16:37:06.762Z</dcterms:created>
  <dcterms:modified xsi:type="dcterms:W3CDTF">2026-06-15T16:37:06.762Z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