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328"/>
          <w:sz w:val="40"/>
          <w:szCs w:val="40"/>
        </w:rPr>
        <w:t xml:space="preserve">988 Data Editor</w:t>
      </w:r>
    </w:p>
    <w:p>
      <w:pPr>
        <w:pBdr>
          <w:bottom w:val="single" w:color="0B5394" w:sz="6" w:space="8"/>
        </w:pBdr>
        <w:spacing w:after="100"/>
      </w:pPr>
      <w:r>
        <w:rPr>
          <w:color w:val="5B6570"/>
          <w:sz w:val="24"/>
          <w:szCs w:val="24"/>
        </w:rPr>
        <w:t xml:space="preserve">Setting the GCS_BUCKET and CHANGE_LOG_PROJECT environment variables</w:t>
      </w:r>
    </w:p>
    <w:p>
      <w:pPr>
        <w:spacing w:after="320"/>
      </w:pPr>
    </w:p>
    <w:p>
      <w:pPr>
        <w:spacing w:after="160" w:line="276"/>
      </w:pPr>
      <w:r>
        <w:rPr>
          <w:color w:val="1F2328"/>
          <w:sz w:val="21"/>
          <w:szCs w:val="21"/>
        </w:rPr>
        <w:t xml:space="preserve">The container image does not know which environment it is running in. Two values — the Cloud Storage bucket holding the parquet dataset, and the GCP project holding the BigQuery change log — are supplied at run time instead of being baked in, so the same image can be promoted from non-prod to prod without a rebuild.</w:t>
      </w:r>
    </w:p>
    <w:p>
      <w:pPr>
        <w:pStyle w:val="Heading1"/>
      </w:pPr>
      <w:r>
        <w:t xml:space="preserve">The two variables</w:t>
      </w:r>
    </w:p>
    <w:tbl>
      <w:tblPr>
        <w:tblW w:type="dxa" w:w="9360"/>
        <w:tblBorders>
          <w:top w:val="single" w:color="D8DEE4" w:sz="2"/>
          <w:left w:val="single" w:color="D8DEE4" w:sz="2"/>
          <w:bottom w:val="single" w:color="D8DEE4" w:sz="2"/>
          <w:right w:val="single" w:color="D8DEE4" w:sz="2"/>
          <w:insideH w:val="single" w:color="D8DEE4" w:sz="2"/>
          <w:insideV w:val="single" w:color="D8DEE4" w:sz="2"/>
        </w:tblBorders>
      </w:tblPr>
      <w:tblGrid>
        <w:gridCol w:w="2350"/>
        <w:gridCol w:w="4210"/>
        <w:gridCol w:w="2800"/>
      </w:tblGrid>
      <w:tr>
        <w:trPr>
          <w:tblHeader/>
        </w:trPr>
        <w:tc>
          <w:tcPr>
            <w:tcW w:type="dxa" w:w="2350"/>
            <w:shd w:fill="0B539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210"/>
            <w:shd w:fill="0B539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sets</w:t>
            </w:r>
          </w:p>
        </w:tc>
        <w:tc>
          <w:tcPr>
            <w:tcW w:type="dxa" w:w="2800"/>
            <w:shd w:fill="0B539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Non-prod value</w:t>
            </w:r>
          </w:p>
        </w:tc>
      </w:tr>
      <w:tr>
        <w:tc>
          <w:tcPr>
            <w:tcW w:type="dxa" w:w="23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GCS_BUCKET</w:t>
            </w:r>
          </w:p>
        </w:tc>
        <w:tc>
          <w:tcPr>
            <w:tcW w:type="dxa" w:w="42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The GCS bucket the parquet dataset is read from and published to.</w:t>
            </w:r>
          </w:p>
        </w:tc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collab-nprod-data</w:t>
            </w:r>
          </w:p>
        </w:tc>
      </w:tr>
      <w:tr>
        <w:tc>
          <w:tcPr>
            <w:tcW w:type="dxa" w:w="235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CHANGE_LOG_PROJECT</w:t>
            </w:r>
          </w:p>
        </w:tc>
        <w:tc>
          <w:tcPr>
            <w:tcW w:type="dxa" w:w="421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The GCP project holding the BigQuery </w:t>
            </w: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988_change_log</w:t>
            </w:r>
            <w:r>
              <w:rPr>
                <w:color w:val="1F2328"/>
                <w:sz w:val="21"/>
                <w:szCs w:val="21"/>
              </w:rPr>
              <w:t xml:space="preserve"> audit table.</w:t>
            </w:r>
          </w:p>
        </w:tc>
        <w:tc>
          <w:tcPr>
            <w:tcW w:type="dxa" w:w="28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collab-infra-nprod</w:t>
            </w:r>
          </w:p>
        </w:tc>
      </w:tr>
    </w:tbl>
    <w:p>
      <w:pPr>
        <w:spacing w:after="240"/>
      </w:pPr>
    </w:p>
    <w:p>
      <w:pPr>
        <w:spacing w:after="160" w:line="276"/>
      </w:pPr>
      <w:r>
        <w:rPr>
          <w:b/>
          <w:bCs/>
          <w:color w:val="1F2328"/>
          <w:sz w:val="21"/>
          <w:szCs w:val="21"/>
        </w:rPr>
        <w:t xml:space="preserve">Both are required. </w:t>
      </w:r>
      <w:r>
        <w:rPr>
          <w:color w:val="1F2328"/>
          <w:sz w:val="21"/>
          <w:szCs w:val="21"/>
        </w:rPr>
        <w:t xml:space="preserve">There is no default in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config.yaml</w:t>
      </w:r>
      <w:r>
        <w:rPr>
          <w:color w:val="1F2328"/>
          <w:sz w:val="21"/>
          <w:szCs w:val="21"/>
        </w:rPr>
        <w:t xml:space="preserve">. If either is missing the app stops at startup with an error naming the variable — deliberate, because a silent fallback would have pointed a production deployment at the non-prod bucket and written real edits there.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storage.gcs_parquet.bucket is not set. Set the GCS_BUCKET environment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variable on the container (docker run -e GCS_BUCKET=..., or Cloud Run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--set-env-vars GCS_BUCKET=...). There is no default: see the README's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"Secrets / environment variables" section.</w:t>
      </w:r>
    </w:p>
    <w:p>
      <w:pPr>
        <w:spacing w:after="160" w:line="276"/>
      </w:pPr>
      <w:r>
        <w:rPr>
          <w:color w:val="5B6570"/>
          <w:sz w:val="21"/>
          <w:szCs w:val="21"/>
        </w:rPr>
        <w:t xml:space="preserve">Everything else — the blob path, dataset, table name and column definitions — stays in </w:t>
      </w:r>
      <w:r>
        <w:rPr>
          <w:rFonts w:ascii="Consolas" w:cs="Consolas" w:eastAsia="Consolas" w:hAnsi="Consolas"/>
          <w:color w:val="5B6570"/>
          <w:sz w:val="19"/>
          <w:szCs w:val="19"/>
        </w:rPr>
        <w:t xml:space="preserve">config.yaml</w:t>
      </w:r>
      <w:r>
        <w:rPr>
          <w:color w:val="5B6570"/>
          <w:sz w:val="21"/>
          <w:szCs w:val="21"/>
        </w:rPr>
        <w:t xml:space="preserve"> and is the same in every environment.</w:t>
      </w:r>
    </w:p>
    <w:p>
      <w:pPr>
        <w:pStyle w:val="Heading1"/>
      </w:pPr>
      <w:r>
        <w:t xml:space="preserve">Setting them</w:t>
      </w:r>
    </w:p>
    <w:p>
      <w:pPr>
        <w:pStyle w:val="Heading2"/>
      </w:pPr>
      <w:r>
        <w:t xml:space="preserve">Cloud Run — new deployment</w:t>
      </w:r>
    </w:p>
    <w:p>
      <w:pPr>
        <w:spacing w:after="160" w:line="276"/>
      </w:pPr>
      <w:r>
        <w:rPr>
          <w:color w:val="1F2328"/>
          <w:sz w:val="21"/>
          <w:szCs w:val="21"/>
        </w:rPr>
        <w:t xml:space="preserve">Pass them alongside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IAP_AUDIENCE</w:t>
      </w:r>
      <w:r>
        <w:rPr>
          <w:color w:val="1F2328"/>
          <w:sz w:val="21"/>
          <w:szCs w:val="21"/>
        </w:rPr>
        <w:t xml:space="preserve"> in the same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--set-env-vars</w:t>
      </w:r>
      <w:r>
        <w:rPr>
          <w:color w:val="1F2328"/>
          <w:sz w:val="21"/>
          <w:szCs w:val="21"/>
        </w:rPr>
        <w:t xml:space="preserve"> flag, comma-separated: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gcloud run deploy 988-data-editor \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--source . \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--region us-central1 \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--no-allow-unauthenticated \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--set-env-vars IAP_AUDIENCE=/projects/PROJECT_NUMBER/global/backendServices/SERVICE_ID,\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GCS_BUCKET=collab-nprod-data,CHANGE_LOG_PROJECT=collab-infra-nprod</w:t>
      </w:r>
    </w:p>
    <w:p>
      <w:pPr>
        <w:pStyle w:val="Heading2"/>
      </w:pPr>
      <w:r>
        <w:t xml:space="preserve">Cloud Run — existing service</w:t>
      </w:r>
    </w:p>
    <w:p>
      <w:pPr>
        <w:spacing w:after="160" w:line="276"/>
      </w:pPr>
      <w:r>
        <w:rPr>
          <w:color w:val="1F2328"/>
          <w:sz w:val="21"/>
          <w:szCs w:val="21"/>
        </w:rPr>
        <w:t xml:space="preserve">Use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--update-env-vars</w:t>
      </w:r>
      <w:r>
        <w:rPr>
          <w:color w:val="1F2328"/>
          <w:sz w:val="21"/>
          <w:szCs w:val="21"/>
        </w:rPr>
        <w:t xml:space="preserve">, not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--set-env-vars</w:t>
      </w:r>
      <w:r>
        <w:rPr>
          <w:color w:val="1F2328"/>
          <w:sz w:val="21"/>
          <w:szCs w:val="21"/>
        </w:rPr>
        <w:t xml:space="preserve">: the latter replaces the whole set and would drop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IAP_AUDIENCE</w:t>
      </w:r>
      <w:r>
        <w:rPr>
          <w:color w:val="1F2328"/>
          <w:sz w:val="21"/>
          <w:szCs w:val="21"/>
        </w:rPr>
        <w:t xml:space="preserve">, breaking sign-in. This starts a new revision; no rebuild is needed.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gcloud run services update 988-data-editor --region us-central1 \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--update-env-vars GCS_BUCKET=collab-nprod-data,CHANGE_LOG_PROJECT=collab-infra-nprod</w:t>
      </w:r>
    </w:p>
    <w:p>
      <w:pPr>
        <w:pStyle w:val="Heading2"/>
      </w:pPr>
      <w:r>
        <w:t xml:space="preserve">docker run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docker run -p 8501:8501 \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-e GCS_BUCKET=collab-nprod-data \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-e CHANGE_LOG_PROJECT=collab-infra-nprod \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988-data-editor</w:t>
      </w:r>
    </w:p>
    <w:p>
      <w:pPr>
        <w:pStyle w:val="Heading2"/>
      </w:pPr>
      <w:r>
        <w:t xml:space="preserve">docker compose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services: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editor: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image: 988-data-editor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ports: ["8501:8501"]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environment: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  GCS_BUCKET: collab-nprod-data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  CHANGE_LOG_PROJECT: collab-infra-nprod</w:t>
      </w:r>
    </w:p>
    <w:p>
      <w:pPr>
        <w:pStyle w:val="Heading2"/>
      </w:pPr>
      <w:r>
        <w:t xml:space="preserve">Running locally (no container)</w:t>
      </w:r>
    </w:p>
    <w:p>
      <w:pPr>
        <w:spacing w:after="160" w:line="276"/>
      </w:pPr>
      <w:r>
        <w:rPr>
          <w:color w:val="1F2328"/>
          <w:sz w:val="21"/>
          <w:szCs w:val="21"/>
        </w:rPr>
        <w:t xml:space="preserve">PowerShell: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$env:GCS_BUCKET = "collab-nprod-data"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$env:CHANGE_LOG_PROJECT = "collab-infra-nprod"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streamlit run app.py</w:t>
      </w:r>
    </w:p>
    <w:p>
      <w:pPr>
        <w:spacing w:after="160" w:line="276"/>
      </w:pPr>
      <w:r>
        <w:rPr>
          <w:color w:val="1F2328"/>
          <w:sz w:val="21"/>
          <w:szCs w:val="21"/>
        </w:rPr>
        <w:t xml:space="preserve">bash: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export GCS_BUCKET=collab-nprod-data</w:t>
      </w:r>
    </w:p>
    <w:p>
      <w:pPr>
        <w:pBdr>
          <w:left w:val="single" w:color="0B5394" w:sz="12" w:space="8"/>
        </w:pBdr>
        <w:shd w:fill="F4F6F8" w:color="auto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export CHANGE_LOG_PROJECT=collab-infra-nprod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streamlit run app.py</w:t>
      </w:r>
    </w:p>
    <w:p>
      <w:pPr>
        <w:spacing w:after="160" w:line="276"/>
      </w:pPr>
      <w:r>
        <w:rPr>
          <w:color w:val="1F2328"/>
          <w:sz w:val="21"/>
          <w:szCs w:val="21"/>
        </w:rPr>
        <w:t xml:space="preserve">A local run also needs credentials that can reach those resources —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gcloud auth application-default login</w:t>
      </w:r>
      <w:r>
        <w:rPr>
          <w:color w:val="1F2328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GOOGLE_APPLICATION_CREDENTIALS</w:t>
      </w:r>
      <w:r>
        <w:rPr>
          <w:color w:val="1F2328"/>
          <w:sz w:val="21"/>
          <w:szCs w:val="21"/>
        </w:rPr>
        <w:t xml:space="preserve"> pointing at a service account key.</w:t>
      </w:r>
    </w:p>
    <w:p>
      <w:pPr>
        <w:pStyle w:val="Heading1"/>
      </w:pPr>
      <w:r>
        <w:t xml:space="preserve">Checking what is set</w:t>
      </w:r>
    </w:p>
    <w:p>
      <w:pPr>
        <w:pBdr>
          <w:left w:val="single" w:color="0B5394" w:sz="12" w:space="8"/>
        </w:pBdr>
        <w:shd w:fill="F4F6F8" w:color="auto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gcloud run services describe 988-data-editor --region us-central1 \</w:t>
      </w:r>
    </w:p>
    <w:p>
      <w:pPr>
        <w:pBdr>
          <w:left w:val="single" w:color="0B5394" w:sz="12" w:space="8"/>
        </w:pBdr>
        <w:shd w:fill="F4F6F8" w:color="auto" w:val="clear"/>
        <w:spacing w:after="200" w:before="0" w:line="260"/>
        <w:ind w:left="180" w:right="18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--format='value(spec.template.spec.containers[0].env)'</w:t>
      </w:r>
    </w:p>
    <w:p>
      <w:pPr>
        <w:spacing w:after="160" w:line="276"/>
      </w:pPr>
      <w:r>
        <w:rPr>
          <w:color w:val="1F2328"/>
          <w:sz w:val="21"/>
          <w:szCs w:val="21"/>
        </w:rPr>
        <w:t xml:space="preserve">The surest confirmation is the app itself: if it loads the grid, both variables resolved and the bucket and change-log project were reachable. A missing or misspelled variable shows the startup error above instead.</w:t>
      </w:r>
    </w:p>
    <w:p>
      <w:pPr>
        <w:pStyle w:val="Heading1"/>
      </w:pPr>
      <w:r>
        <w:t xml:space="preserve">If something goes wrong</w:t>
      </w:r>
    </w:p>
    <w:tbl>
      <w:tblPr>
        <w:tblW w:type="dxa" w:w="9360"/>
        <w:tblBorders>
          <w:top w:val="single" w:color="D8DEE4" w:sz="2"/>
          <w:left w:val="single" w:color="D8DEE4" w:sz="2"/>
          <w:bottom w:val="single" w:color="D8DEE4" w:sz="2"/>
          <w:right w:val="single" w:color="D8DEE4" w:sz="2"/>
          <w:insideH w:val="single" w:color="D8DEE4" w:sz="2"/>
          <w:insideV w:val="single" w:color="D8DEE4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B539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960"/>
            <w:shd w:fill="0B539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“</w:t>
            </w: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...bucket is not set</w:t>
            </w:r>
            <w:r>
              <w:rPr>
                <w:color w:val="1F2328"/>
                <w:sz w:val="21"/>
                <w:szCs w:val="21"/>
              </w:rPr>
              <w:t xml:space="preserve">” on startup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The variable never reached the container. On Cloud Run, confirm you updated the </w:t>
            </w:r>
            <w:r>
              <w:rPr>
                <w:i/>
                <w:iCs/>
                <w:color w:val="1F2328"/>
                <w:sz w:val="21"/>
                <w:szCs w:val="21"/>
              </w:rPr>
              <w:t xml:space="preserve">serving</w:t>
            </w:r>
            <w:r>
              <w:rPr>
                <w:color w:val="1F2328"/>
                <w:sz w:val="21"/>
                <w:szCs w:val="21"/>
              </w:rPr>
              <w:t xml:space="preserve"> revision — setting env vars creates a new one, and traffic has to be on it.</w:t>
            </w:r>
          </w:p>
        </w:tc>
      </w:tr>
      <w:tr>
        <w:tc>
          <w:tcPr>
            <w:tcW w:type="dxa" w:w="34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Edits land in the wrong environment</w:t>
            </w:r>
          </w:p>
        </w:tc>
        <w:tc>
          <w:tcPr>
            <w:tcW w:type="dxa" w:w="596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A correct-looking but wrong value. </w:t>
            </w: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GCS_BUCKET</w:t>
            </w:r>
            <w:r>
              <w:rPr>
                <w:color w:val="1F2328"/>
                <w:sz w:val="21"/>
                <w:szCs w:val="21"/>
              </w:rPr>
              <w:t xml:space="preserve"> is a bucket name, </w:t>
            </w: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CHANGE_LOG_PROJECT</w:t>
            </w:r>
            <w:r>
              <w:rPr>
                <w:color w:val="1F2328"/>
                <w:sz w:val="21"/>
                <w:szCs w:val="21"/>
              </w:rPr>
              <w:t xml:space="preserve"> a project id — the two non-prod names are similar enough to swap by accident.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403 on read or publish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Variables are fine; the runtime service account lacks access to that bucket or dataset. See the README’s IAM roles section.</w:t>
            </w:r>
          </w:p>
        </w:tc>
      </w:tr>
      <w:tr>
        <w:tc>
          <w:tcPr>
            <w:tcW w:type="dxa" w:w="34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Value looks set but is ignored</w:t>
            </w:r>
          </w:p>
        </w:tc>
        <w:tc>
          <w:tcPr>
            <w:tcW w:type="dxa" w:w="596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color w:val="1F2328"/>
                <w:sz w:val="21"/>
                <w:szCs w:val="21"/>
              </w:rPr>
              <w:t xml:space="preserve">An empty value is treated as unset. Check for a trailing comma or an empty string in </w:t>
            </w:r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--set-env-vars</w:t>
            </w:r>
            <w:r>
              <w:rPr>
                <w:color w:val="1F2328"/>
                <w:sz w:val="21"/>
                <w:szCs w:val="21"/>
              </w:rPr>
              <w:t xml:space="preserve">.</w:t>
            </w:r>
          </w:p>
        </w:tc>
      </w:tr>
    </w:tbl>
    <w:p>
      <w:pPr>
        <w:spacing w:after="260"/>
      </w:pPr>
    </w:p>
    <w:p>
      <w:pPr>
        <w:spacing w:after="160" w:line="276"/>
      </w:pPr>
      <w:r>
        <w:rPr>
          <w:color w:val="5B6570"/>
          <w:sz w:val="21"/>
          <w:szCs w:val="21"/>
        </w:rPr>
        <w:t xml:space="preserve">Reference: </w:t>
      </w:r>
      <w:r>
        <w:rPr>
          <w:rFonts w:ascii="Consolas" w:cs="Consolas" w:eastAsia="Consolas" w:hAnsi="Consolas"/>
          <w:color w:val="5B6570"/>
          <w:sz w:val="19"/>
          <w:szCs w:val="19"/>
        </w:rPr>
        <w:t xml:space="preserve">README.md</w:t>
      </w:r>
      <w:r>
        <w:rPr>
          <w:color w:val="5B6570"/>
          <w:sz w:val="21"/>
          <w:szCs w:val="21"/>
        </w:rPr>
        <w:t xml:space="preserve"> → “Secrets / environment variables”, and </w:t>
      </w:r>
      <w:r>
        <w:rPr>
          <w:rFonts w:ascii="Consolas" w:cs="Consolas" w:eastAsia="Consolas" w:hAnsi="Consolas"/>
          <w:color w:val="5B6570"/>
          <w:sz w:val="19"/>
          <w:szCs w:val="19"/>
        </w:rPr>
        <w:t xml:space="preserve">CONFIG.md</w:t>
      </w:r>
      <w:r>
        <w:rPr>
          <w:color w:val="5B6570"/>
          <w:sz w:val="21"/>
          <w:szCs w:val="21"/>
        </w:rPr>
        <w:t xml:space="preserve"> → the </w:t>
      </w:r>
      <w:r>
        <w:rPr>
          <w:rFonts w:ascii="Consolas" w:cs="Consolas" w:eastAsia="Consolas" w:hAnsi="Consolas"/>
          <w:color w:val="5B6570"/>
          <w:sz w:val="19"/>
          <w:szCs w:val="19"/>
        </w:rPr>
        <w:t xml:space="preserve">gcs_parquet</w:t>
      </w:r>
      <w:r>
        <w:rPr>
          <w:color w:val="5B6570"/>
          <w:sz w:val="21"/>
          <w:szCs w:val="21"/>
        </w:rPr>
        <w:t xml:space="preserve"> storage block.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" w:cs="Calibri" w:eastAsia="Calibri" w:hAnsi="Calibri"/>
      <w:b/>
      <w:bCs/>
      <w:color w:val="1F23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B5394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988 Data Editor - Environment Variables</dc:title>
  <dc:creator>988 Data Editor</dc:creator>
  <dc:description>How to set GCS_BUCKET and CHANGE_LOG_PROJECT on the container image</dc:description>
  <cp:lastModifiedBy>Un-named</cp:lastModifiedBy>
  <cp:revision>1</cp:revision>
  <dcterms:created xsi:type="dcterms:W3CDTF">2026-09-22T15:55:06.435Z</dcterms:created>
  <dcterms:modified xsi:type="dcterms:W3CDTF">2026-09-22T15:55:06.436Z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