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A76269" w14:textId="3AA99A5E" w:rsidR="00034025" w:rsidRPr="00007925" w:rsidRDefault="000A545F" w:rsidP="00034025">
      <w:pPr>
        <w:ind w:left="360"/>
        <w:jc w:val="center"/>
        <w:rPr>
          <w:rFonts w:cs="Arial"/>
          <w:b/>
          <w:sz w:val="28"/>
          <w:szCs w:val="28"/>
        </w:rPr>
      </w:pPr>
      <w:r w:rsidRPr="00007925">
        <w:rPr>
          <w:rFonts w:cs="Arial"/>
          <w:b/>
          <w:sz w:val="28"/>
          <w:szCs w:val="28"/>
        </w:rPr>
        <w:t>HIPAA Business Associate Agreement</w:t>
      </w:r>
    </w:p>
    <w:p w14:paraId="6AA7419D" w14:textId="77777777" w:rsidR="00034025" w:rsidRDefault="00034025" w:rsidP="00034025">
      <w:pPr>
        <w:spacing w:before="0"/>
        <w:rPr>
          <w:rFonts w:cs="Arial"/>
          <w:sz w:val="22"/>
          <w:szCs w:val="22"/>
        </w:rPr>
      </w:pPr>
    </w:p>
    <w:p w14:paraId="4B5282A5" w14:textId="7DCE9550" w:rsidR="000A545F" w:rsidRDefault="000A545F" w:rsidP="00034025">
      <w:pPr>
        <w:spacing w:after="120"/>
        <w:rPr>
          <w:sz w:val="22"/>
          <w:szCs w:val="22"/>
        </w:rPr>
      </w:pPr>
      <w:r w:rsidRPr="0FBE397B">
        <w:rPr>
          <w:rFonts w:cs="Arial"/>
          <w:sz w:val="22"/>
          <w:szCs w:val="22"/>
        </w:rPr>
        <w:t>If Customer is a Covered Entity or a Business Associate and includes Protected Health Information in Customer Data</w:t>
      </w:r>
      <w:r w:rsidR="00147B81" w:rsidRPr="0FBE397B">
        <w:rPr>
          <w:rFonts w:cs="Arial"/>
          <w:sz w:val="22"/>
          <w:szCs w:val="22"/>
        </w:rPr>
        <w:t xml:space="preserve">, </w:t>
      </w:r>
      <w:r w:rsidRPr="0FBE397B">
        <w:rPr>
          <w:rFonts w:cs="Arial"/>
          <w:sz w:val="22"/>
          <w:szCs w:val="22"/>
        </w:rPr>
        <w:t xml:space="preserve">FastTrack Data, </w:t>
      </w:r>
      <w:r w:rsidR="00147B81" w:rsidRPr="0FBE397B">
        <w:rPr>
          <w:rFonts w:cs="Arial"/>
          <w:sz w:val="22"/>
          <w:szCs w:val="22"/>
        </w:rPr>
        <w:t>or Professional Services Data</w:t>
      </w:r>
      <w:r w:rsidR="00573507" w:rsidRPr="0FBE397B">
        <w:rPr>
          <w:rFonts w:cs="Arial"/>
          <w:sz w:val="22"/>
          <w:szCs w:val="22"/>
        </w:rPr>
        <w:t>,</w:t>
      </w:r>
      <w:r w:rsidR="00147B81" w:rsidRPr="0FBE397B">
        <w:rPr>
          <w:rFonts w:cs="Arial"/>
          <w:sz w:val="22"/>
          <w:szCs w:val="22"/>
        </w:rPr>
        <w:t xml:space="preserve"> </w:t>
      </w:r>
      <w:r w:rsidR="00047B00" w:rsidRPr="0FBE397B">
        <w:rPr>
          <w:rFonts w:cs="Arial"/>
          <w:sz w:val="22"/>
          <w:szCs w:val="22"/>
        </w:rPr>
        <w:t xml:space="preserve">this HIPAA Business Associate Agreement (“BAA”) is incorporated upon </w:t>
      </w:r>
      <w:r w:rsidRPr="0FBE397B">
        <w:rPr>
          <w:rFonts w:cs="Arial"/>
          <w:sz w:val="22"/>
          <w:szCs w:val="22"/>
        </w:rPr>
        <w:t>execution of a</w:t>
      </w:r>
      <w:r w:rsidR="00573507" w:rsidRPr="0FBE397B">
        <w:rPr>
          <w:rFonts w:cs="Arial"/>
          <w:sz w:val="22"/>
          <w:szCs w:val="22"/>
        </w:rPr>
        <w:t>n</w:t>
      </w:r>
      <w:r w:rsidRPr="0FBE397B">
        <w:rPr>
          <w:rFonts w:cs="Arial"/>
          <w:sz w:val="22"/>
          <w:szCs w:val="22"/>
        </w:rPr>
        <w:t xml:space="preserve"> </w:t>
      </w:r>
      <w:r w:rsidRPr="777FF740">
        <w:rPr>
          <w:rFonts w:cs="Arial"/>
          <w:sz w:val="22"/>
          <w:szCs w:val="22"/>
        </w:rPr>
        <w:t xml:space="preserve">agreement </w:t>
      </w:r>
      <w:r w:rsidR="00677E55" w:rsidRPr="0FBE397B">
        <w:rPr>
          <w:rFonts w:cs="Arial"/>
          <w:sz w:val="22"/>
          <w:szCs w:val="22"/>
        </w:rPr>
        <w:t xml:space="preserve">(“Agreement”) </w:t>
      </w:r>
      <w:r w:rsidRPr="0FBE397B">
        <w:rPr>
          <w:rFonts w:cs="Arial"/>
          <w:sz w:val="22"/>
          <w:szCs w:val="22"/>
        </w:rPr>
        <w:t>that</w:t>
      </w:r>
      <w:r w:rsidR="00677E55" w:rsidRPr="0FBE397B">
        <w:rPr>
          <w:rFonts w:cs="Arial"/>
          <w:sz w:val="22"/>
          <w:szCs w:val="22"/>
        </w:rPr>
        <w:t>: (</w:t>
      </w:r>
      <w:proofErr w:type="spellStart"/>
      <w:r w:rsidR="00677E55" w:rsidRPr="0FBE397B">
        <w:rPr>
          <w:rFonts w:cs="Arial"/>
          <w:sz w:val="22"/>
          <w:szCs w:val="22"/>
        </w:rPr>
        <w:t>i</w:t>
      </w:r>
      <w:proofErr w:type="spellEnd"/>
      <w:r w:rsidR="00677E55" w:rsidRPr="0FBE397B">
        <w:rPr>
          <w:rFonts w:cs="Arial"/>
          <w:sz w:val="22"/>
          <w:szCs w:val="22"/>
        </w:rPr>
        <w:t>)</w:t>
      </w:r>
      <w:r w:rsidRPr="0FBE397B">
        <w:rPr>
          <w:rFonts w:cs="Arial"/>
          <w:sz w:val="22"/>
          <w:szCs w:val="22"/>
        </w:rPr>
        <w:t xml:space="preserve"> includes the</w:t>
      </w:r>
      <w:r w:rsidR="00732B69" w:rsidRPr="0FBE397B">
        <w:rPr>
          <w:rFonts w:cs="Arial"/>
          <w:sz w:val="22"/>
          <w:szCs w:val="22"/>
        </w:rPr>
        <w:t xml:space="preserve"> Online Services Data Protection Addendum</w:t>
      </w:r>
      <w:r w:rsidR="00047B00" w:rsidRPr="0FBE397B">
        <w:rPr>
          <w:rFonts w:cs="Arial"/>
          <w:sz w:val="22"/>
          <w:szCs w:val="22"/>
        </w:rPr>
        <w:t>,</w:t>
      </w:r>
      <w:r w:rsidR="00677E55" w:rsidRPr="0FBE397B">
        <w:rPr>
          <w:rFonts w:cs="Arial"/>
          <w:sz w:val="22"/>
          <w:szCs w:val="22"/>
        </w:rPr>
        <w:t xml:space="preserve"> or (</w:t>
      </w:r>
      <w:r w:rsidR="5196E872" w:rsidRPr="0FBE397B">
        <w:rPr>
          <w:rFonts w:cs="Arial"/>
          <w:sz w:val="22"/>
          <w:szCs w:val="22"/>
        </w:rPr>
        <w:t>ii</w:t>
      </w:r>
      <w:r w:rsidR="00677E55" w:rsidRPr="0FBE397B">
        <w:rPr>
          <w:rFonts w:cs="Arial"/>
          <w:sz w:val="22"/>
          <w:szCs w:val="22"/>
        </w:rPr>
        <w:t xml:space="preserve">) </w:t>
      </w:r>
      <w:r w:rsidR="00047B00" w:rsidRPr="0FBE397B">
        <w:rPr>
          <w:rFonts w:cs="Arial"/>
          <w:sz w:val="22"/>
          <w:szCs w:val="22"/>
        </w:rPr>
        <w:t>incorporates this BAA</w:t>
      </w:r>
      <w:r w:rsidR="00AC0881">
        <w:rPr>
          <w:rFonts w:cs="Arial"/>
          <w:sz w:val="22"/>
          <w:szCs w:val="22"/>
        </w:rPr>
        <w:t xml:space="preserve"> and</w:t>
      </w:r>
      <w:r w:rsidR="00047B00" w:rsidRPr="0FBE397B">
        <w:rPr>
          <w:rFonts w:cs="Arial"/>
          <w:sz w:val="22"/>
          <w:szCs w:val="22"/>
        </w:rPr>
        <w:t xml:space="preserve"> </w:t>
      </w:r>
      <w:r w:rsidR="008A4734">
        <w:rPr>
          <w:rFonts w:cs="Arial"/>
          <w:sz w:val="22"/>
          <w:szCs w:val="22"/>
        </w:rPr>
        <w:t xml:space="preserve">the </w:t>
      </w:r>
      <w:r w:rsidR="00AC0881">
        <w:rPr>
          <w:rFonts w:cs="Arial"/>
          <w:sz w:val="22"/>
          <w:szCs w:val="22"/>
        </w:rPr>
        <w:t xml:space="preserve">Microsoft Professional Services Data Protection Addendum </w:t>
      </w:r>
      <w:r w:rsidR="009B2347">
        <w:rPr>
          <w:rFonts w:cs="Arial"/>
          <w:sz w:val="22"/>
          <w:szCs w:val="22"/>
        </w:rPr>
        <w:t xml:space="preserve">by reference </w:t>
      </w:r>
      <w:r w:rsidR="00804EFC" w:rsidRPr="0FBE397B">
        <w:rPr>
          <w:rFonts w:cs="Arial"/>
          <w:sz w:val="22"/>
          <w:szCs w:val="22"/>
        </w:rPr>
        <w:t>through a</w:t>
      </w:r>
      <w:r w:rsidR="001E789B" w:rsidRPr="0FBE397B">
        <w:rPr>
          <w:rFonts w:cs="Arial"/>
          <w:sz w:val="22"/>
          <w:szCs w:val="22"/>
        </w:rPr>
        <w:t xml:space="preserve"> work order</w:t>
      </w:r>
      <w:r w:rsidR="00F70F6B">
        <w:rPr>
          <w:rFonts w:cs="Arial"/>
          <w:sz w:val="22"/>
          <w:szCs w:val="22"/>
        </w:rPr>
        <w:t xml:space="preserve"> for </w:t>
      </w:r>
      <w:r w:rsidR="00F70F6B" w:rsidRPr="0FBE397B">
        <w:rPr>
          <w:rFonts w:cs="Arial"/>
          <w:sz w:val="22"/>
          <w:szCs w:val="22"/>
        </w:rPr>
        <w:t>Professional Services</w:t>
      </w:r>
      <w:r w:rsidR="00F70F6B">
        <w:rPr>
          <w:rFonts w:cs="Arial"/>
          <w:sz w:val="22"/>
          <w:szCs w:val="22"/>
        </w:rPr>
        <w:t>.</w:t>
      </w:r>
      <w:r w:rsidRPr="0FBE397B">
        <w:rPr>
          <w:rFonts w:cs="Arial"/>
          <w:sz w:val="22"/>
          <w:szCs w:val="22"/>
        </w:rPr>
        <w:t xml:space="preserve"> </w:t>
      </w:r>
      <w:r w:rsidRPr="0FBE397B">
        <w:rPr>
          <w:sz w:val="22"/>
          <w:szCs w:val="22"/>
        </w:rPr>
        <w:t xml:space="preserve"> If there is any conflict between a provision in this BAA and a provision in the Agreement, this BAA will control.</w:t>
      </w:r>
    </w:p>
    <w:p w14:paraId="6CAE7E81" w14:textId="77777777" w:rsidR="00034025" w:rsidRPr="003957DF" w:rsidRDefault="00034025" w:rsidP="00034025">
      <w:pPr>
        <w:spacing w:before="0"/>
        <w:rPr>
          <w:rFonts w:cs="Arial"/>
          <w:sz w:val="22"/>
          <w:szCs w:val="22"/>
        </w:rPr>
      </w:pPr>
    </w:p>
    <w:p w14:paraId="376AE203" w14:textId="77777777" w:rsidR="000A545F" w:rsidRDefault="000A545F" w:rsidP="00034025">
      <w:pPr>
        <w:pStyle w:val="GVL-Amend-SS-Lvl-1-Title"/>
        <w:spacing w:before="120" w:after="120"/>
        <w:jc w:val="both"/>
        <w:rPr>
          <w:bCs/>
        </w:rPr>
      </w:pPr>
      <w:r>
        <w:t>Definitions.</w:t>
      </w:r>
    </w:p>
    <w:p w14:paraId="1A6D606A" w14:textId="77777777" w:rsidR="000A545F" w:rsidRPr="00964F73" w:rsidRDefault="000A545F" w:rsidP="00034025">
      <w:pPr>
        <w:pStyle w:val="FVL-Amend-Body"/>
        <w:spacing w:after="120"/>
        <w:rPr>
          <w:szCs w:val="22"/>
        </w:rPr>
      </w:pPr>
      <w:r w:rsidRPr="003957DF">
        <w:rPr>
          <w:szCs w:val="22"/>
        </w:rPr>
        <w:t>Except as otherwise defined in this BAA, capitalized terms shall have the definitions set forth in HIPAA</w:t>
      </w:r>
      <w:r>
        <w:rPr>
          <w:szCs w:val="22"/>
        </w:rPr>
        <w:t xml:space="preserve">, and if not defined by HIPAA, such terms shall have the definitions set forth in the </w:t>
      </w:r>
      <w:r w:rsidRPr="00964F73">
        <w:rPr>
          <w:szCs w:val="22"/>
        </w:rPr>
        <w:t>A</w:t>
      </w:r>
      <w:r>
        <w:rPr>
          <w:szCs w:val="22"/>
        </w:rPr>
        <w:t>greement.</w:t>
      </w:r>
    </w:p>
    <w:p w14:paraId="71187562" w14:textId="77777777" w:rsidR="000A545F" w:rsidRPr="00964F73" w:rsidRDefault="000A545F" w:rsidP="00034025">
      <w:pPr>
        <w:pStyle w:val="FVL-Amend-Body"/>
        <w:spacing w:after="120"/>
        <w:rPr>
          <w:szCs w:val="22"/>
        </w:rPr>
      </w:pPr>
      <w:r w:rsidRPr="00964F73">
        <w:rPr>
          <w:szCs w:val="22"/>
        </w:rPr>
        <w:t>“Breach Notification Rule” means the Breach Notification for Unsecured Protected Health Information Final Rule.</w:t>
      </w:r>
    </w:p>
    <w:p w14:paraId="525C1741" w14:textId="77777777" w:rsidR="000A545F" w:rsidRPr="00964F73" w:rsidRDefault="000A545F" w:rsidP="00034025">
      <w:pPr>
        <w:pStyle w:val="FVL-Amend-Body"/>
        <w:spacing w:after="120"/>
        <w:rPr>
          <w:szCs w:val="22"/>
        </w:rPr>
      </w:pPr>
      <w:r w:rsidRPr="00964F73">
        <w:rPr>
          <w:szCs w:val="22"/>
        </w:rPr>
        <w:t>“Business Associate” shall have the same meaning as the term “</w:t>
      </w:r>
      <w:r>
        <w:rPr>
          <w:szCs w:val="22"/>
        </w:rPr>
        <w:t xml:space="preserve">business associate” in 45 CFR § </w:t>
      </w:r>
      <w:r w:rsidRPr="00964F73">
        <w:rPr>
          <w:szCs w:val="22"/>
        </w:rPr>
        <w:t>160.103 of HIPAA.</w:t>
      </w:r>
    </w:p>
    <w:p w14:paraId="31F4ECC2" w14:textId="77777777" w:rsidR="000A545F" w:rsidRDefault="000A545F" w:rsidP="00034025">
      <w:pPr>
        <w:pStyle w:val="FVL-Amend-Body"/>
        <w:spacing w:after="120"/>
        <w:rPr>
          <w:szCs w:val="22"/>
        </w:rPr>
      </w:pPr>
      <w:r w:rsidRPr="00964F73">
        <w:rPr>
          <w:szCs w:val="22"/>
        </w:rPr>
        <w:t>“Covered Entity” shall have the same meaning as the te</w:t>
      </w:r>
      <w:r>
        <w:rPr>
          <w:szCs w:val="22"/>
        </w:rPr>
        <w:t xml:space="preserve">rm “covered entity” in 45 CFR § </w:t>
      </w:r>
      <w:r w:rsidRPr="00964F73">
        <w:rPr>
          <w:szCs w:val="22"/>
        </w:rPr>
        <w:t>160.103 of HIPAA.</w:t>
      </w:r>
    </w:p>
    <w:p w14:paraId="1C2BA7A5" w14:textId="77777777" w:rsidR="000A545F" w:rsidRPr="00964F73" w:rsidRDefault="000A545F" w:rsidP="00034025">
      <w:pPr>
        <w:pStyle w:val="FVL-Amend-Body"/>
        <w:spacing w:after="120"/>
        <w:rPr>
          <w:szCs w:val="22"/>
        </w:rPr>
      </w:pPr>
      <w:r>
        <w:rPr>
          <w:szCs w:val="22"/>
        </w:rPr>
        <w:t>“Customer”, for this BAA only, means Customer and its Affiliates.</w:t>
      </w:r>
    </w:p>
    <w:p w14:paraId="51CB1E43" w14:textId="77777777" w:rsidR="000A545F" w:rsidRDefault="000A545F" w:rsidP="00034025">
      <w:pPr>
        <w:pStyle w:val="FVL-Amend-Body"/>
        <w:spacing w:after="120"/>
        <w:rPr>
          <w:szCs w:val="22"/>
        </w:rPr>
      </w:pPr>
      <w:r w:rsidRPr="00DE4E7D">
        <w:rPr>
          <w:szCs w:val="22"/>
        </w:rPr>
        <w:t>“FastTrack Data” means all data, including all text, sound, video, or image files, and software, that are provided to Microsoft by or on behalf of Customer for Microsoft’s performance of the FastTrack Services.</w:t>
      </w:r>
    </w:p>
    <w:p w14:paraId="7854C874" w14:textId="633E2AEC" w:rsidR="000A545F" w:rsidRDefault="000A545F" w:rsidP="00034025">
      <w:pPr>
        <w:pStyle w:val="FVL-Amend-Body"/>
        <w:spacing w:after="120"/>
        <w:rPr>
          <w:szCs w:val="22"/>
        </w:rPr>
      </w:pPr>
      <w:r w:rsidRPr="00DE4E7D">
        <w:rPr>
          <w:szCs w:val="22"/>
        </w:rPr>
        <w:t xml:space="preserve">“FastTrack Services” means the onboarding and migration services </w:t>
      </w:r>
      <w:r>
        <w:rPr>
          <w:szCs w:val="22"/>
        </w:rPr>
        <w:t xml:space="preserve">for Office 365 Services </w:t>
      </w:r>
      <w:r w:rsidRPr="00DE4E7D">
        <w:rPr>
          <w:szCs w:val="22"/>
        </w:rPr>
        <w:t xml:space="preserve">specified as being in scope for this BAA </w:t>
      </w:r>
      <w:r>
        <w:rPr>
          <w:szCs w:val="22"/>
        </w:rPr>
        <w:t xml:space="preserve">on the FastTrack Center BAA site at </w:t>
      </w:r>
      <w:hyperlink r:id="rId8" w:history="1">
        <w:r w:rsidRPr="00DE4E7D">
          <w:rPr>
            <w:rStyle w:val="Hyperlink"/>
            <w:szCs w:val="22"/>
          </w:rPr>
          <w:t>http://aka.ms/FastTrackBAA</w:t>
        </w:r>
      </w:hyperlink>
      <w:r>
        <w:rPr>
          <w:szCs w:val="22"/>
        </w:rPr>
        <w:t xml:space="preserve"> (or </w:t>
      </w:r>
      <w:r w:rsidRPr="00DE4E7D">
        <w:rPr>
          <w:szCs w:val="22"/>
        </w:rPr>
        <w:t>successor site</w:t>
      </w:r>
      <w:r w:rsidRPr="00275A70">
        <w:rPr>
          <w:szCs w:val="22"/>
        </w:rPr>
        <w:t>)</w:t>
      </w:r>
      <w:r w:rsidR="00275A70" w:rsidRPr="00275A70">
        <w:rPr>
          <w:szCs w:val="22"/>
        </w:rPr>
        <w:t>; and (2) Dynamics 365 Core Services and Microsoft Power Platform Core Services;</w:t>
      </w:r>
      <w:r w:rsidRPr="00DE4E7D">
        <w:rPr>
          <w:szCs w:val="22"/>
        </w:rPr>
        <w:t xml:space="preserve"> that are provided to Customer by Microsoft in connection with Customer’s </w:t>
      </w:r>
      <w:r w:rsidR="00D3237B" w:rsidRPr="00D3237B">
        <w:rPr>
          <w:bCs/>
          <w:szCs w:val="22"/>
        </w:rPr>
        <w:t>Microsoft Online Services</w:t>
      </w:r>
      <w:r w:rsidR="00D3237B">
        <w:rPr>
          <w:b/>
          <w:szCs w:val="22"/>
        </w:rPr>
        <w:t xml:space="preserve"> </w:t>
      </w:r>
      <w:r w:rsidRPr="00DE4E7D">
        <w:rPr>
          <w:szCs w:val="22"/>
        </w:rPr>
        <w:t>subscription, excluding services that are performed using third-party software or software that is not hosted by Microsoft.</w:t>
      </w:r>
    </w:p>
    <w:p w14:paraId="679AFB5B" w14:textId="77777777" w:rsidR="000A545F" w:rsidRPr="00964F73" w:rsidRDefault="000A545F" w:rsidP="00034025">
      <w:pPr>
        <w:pStyle w:val="FVL-Amend-Body"/>
        <w:spacing w:after="120"/>
        <w:rPr>
          <w:szCs w:val="22"/>
        </w:rPr>
      </w:pPr>
      <w:r w:rsidRPr="00964F73">
        <w:rPr>
          <w:szCs w:val="22"/>
        </w:rPr>
        <w:t>“HIPAA” collectively means the administrative simplification provision of the Health Insurance Portability and Accountability Act enacted by the United States Congress, and its implementing regulations, including the Privacy Rule, the Breach Notification Rule, and the Security Rule, as amended from time to time, including by the Health Information Technology for Economic and Clinical Health (“HITECH”) Act and by the Modifications to the HIPAA Privacy, Security, Enforcement, and Breach Notification Rules under the Health Information Technology for Economic and Clinical Health Act and the Genetic Information Nondiscrimination Act; Other Modifications to the HIPAA Rules; Final Rule.</w:t>
      </w:r>
    </w:p>
    <w:p w14:paraId="3FA9BD95" w14:textId="2D74878B" w:rsidR="000A545F" w:rsidRPr="00964F73" w:rsidRDefault="000A545F" w:rsidP="00034025">
      <w:pPr>
        <w:pStyle w:val="FVL-Amend-Body"/>
        <w:spacing w:after="120"/>
        <w:rPr>
          <w:szCs w:val="22"/>
        </w:rPr>
      </w:pPr>
      <w:r w:rsidRPr="00631AE4">
        <w:rPr>
          <w:szCs w:val="22"/>
        </w:rPr>
        <w:t xml:space="preserve">“Microsoft </w:t>
      </w:r>
      <w:r w:rsidR="001508BC">
        <w:rPr>
          <w:szCs w:val="22"/>
        </w:rPr>
        <w:t>BAA-Scope</w:t>
      </w:r>
      <w:r w:rsidR="001508BC" w:rsidRPr="00631AE4">
        <w:rPr>
          <w:szCs w:val="22"/>
        </w:rPr>
        <w:t xml:space="preserve"> </w:t>
      </w:r>
      <w:r w:rsidRPr="00631AE4">
        <w:rPr>
          <w:szCs w:val="22"/>
        </w:rPr>
        <w:t xml:space="preserve">Services”, for this BAA only, means </w:t>
      </w:r>
      <w:r w:rsidR="00DB79ED">
        <w:rPr>
          <w:szCs w:val="22"/>
        </w:rPr>
        <w:t xml:space="preserve">the Core Online Services as defined in </w:t>
      </w:r>
      <w:r w:rsidRPr="00631AE4">
        <w:rPr>
          <w:szCs w:val="22"/>
        </w:rPr>
        <w:t xml:space="preserve">the Online Services Terms incorporated into the Agreement; </w:t>
      </w:r>
      <w:r w:rsidR="00DC4AF7">
        <w:rPr>
          <w:szCs w:val="22"/>
        </w:rPr>
        <w:t>Azure Health</w:t>
      </w:r>
      <w:r w:rsidRPr="00774D86">
        <w:rPr>
          <w:szCs w:val="22"/>
        </w:rPr>
        <w:t xml:space="preserve"> Bot;</w:t>
      </w:r>
      <w:r w:rsidRPr="00631AE4">
        <w:rPr>
          <w:szCs w:val="22"/>
        </w:rPr>
        <w:t xml:space="preserve"> and any additional Azure online services and U.S. Government online services listed as in scope for this BAA on the Microsoft Trust Center at </w:t>
      </w:r>
      <w:hyperlink r:id="rId9" w:history="1">
        <w:r w:rsidR="003B36E9" w:rsidRPr="00EF79D2">
          <w:rPr>
            <w:rStyle w:val="Hyperlink"/>
            <w:szCs w:val="22"/>
          </w:rPr>
          <w:t>https://docs.microsoft.com/en-us/compliance/regulatory/offering-hipaa-hitech</w:t>
        </w:r>
      </w:hyperlink>
      <w:r w:rsidR="003B36E9">
        <w:rPr>
          <w:szCs w:val="22"/>
        </w:rPr>
        <w:t xml:space="preserve"> </w:t>
      </w:r>
      <w:r w:rsidRPr="00631AE4">
        <w:rPr>
          <w:szCs w:val="22"/>
        </w:rPr>
        <w:t>(or successor site); excluding Previews.</w:t>
      </w:r>
    </w:p>
    <w:p w14:paraId="0449491A" w14:textId="7A2F7E77" w:rsidR="00D621A6" w:rsidRPr="00D621A6" w:rsidRDefault="000A545F" w:rsidP="00034025">
      <w:pPr>
        <w:pStyle w:val="FVL-Amend-Body"/>
        <w:spacing w:after="120"/>
        <w:rPr>
          <w:szCs w:val="22"/>
        </w:rPr>
      </w:pPr>
      <w:r w:rsidRPr="00964F73">
        <w:rPr>
          <w:szCs w:val="22"/>
        </w:rPr>
        <w:lastRenderedPageBreak/>
        <w:t>“Privacy Rule” means the Standards for Privacy of Individually Identifiable Health Information.</w:t>
      </w:r>
    </w:p>
    <w:p w14:paraId="533F4CD9" w14:textId="77777777" w:rsidR="001B23FE" w:rsidRDefault="001B23FE" w:rsidP="00034025">
      <w:pPr>
        <w:pStyle w:val="FVL-Amend-Body"/>
        <w:spacing w:after="120"/>
        <w:rPr>
          <w:color w:val="000000" w:themeColor="text1"/>
          <w:szCs w:val="22"/>
        </w:rPr>
      </w:pPr>
      <w:r w:rsidRPr="001B23FE">
        <w:rPr>
          <w:color w:val="000000" w:themeColor="text1"/>
          <w:szCs w:val="22"/>
        </w:rPr>
        <w:t>“Professional Services” means the following services provided under an Enterprise Services Work Order:</w:t>
      </w:r>
      <w:r>
        <w:rPr>
          <w:color w:val="000000" w:themeColor="text1"/>
          <w:szCs w:val="22"/>
        </w:rPr>
        <w:t xml:space="preserve"> </w:t>
      </w:r>
      <w:r w:rsidRPr="001B23FE">
        <w:rPr>
          <w:color w:val="000000" w:themeColor="text1"/>
          <w:szCs w:val="22"/>
        </w:rPr>
        <w:t xml:space="preserve">(a) professional planning, advice, guidance, data migration, deployment and solution/software development services provided by Microsoft Consulting Services (“Consulting Services”); and (b) Microsoft Unified Support or Premier Support Services as described in the Services Consulting and Support Description or the  Description of Services, respectively, which consist of professional technical software support services provided by Microsoft that help customers identify and resolve issues in their information technology environment (“Support Services”). Additionally, Professional Services includes (c) services provided under a Microsoft Business Support Services Work Order. The Professional Services do not include the Online Services. </w:t>
      </w:r>
    </w:p>
    <w:p w14:paraId="787D9A97" w14:textId="768E7C31" w:rsidR="00B0080C" w:rsidRPr="00964F73" w:rsidRDefault="00B0080C" w:rsidP="00034025">
      <w:pPr>
        <w:pStyle w:val="FVL-Amend-Body"/>
        <w:spacing w:after="120"/>
        <w:rPr>
          <w:szCs w:val="22"/>
        </w:rPr>
      </w:pPr>
      <w:r>
        <w:t>“</w:t>
      </w:r>
      <w:r w:rsidRPr="00B753C4">
        <w:t>Professional Services Data” means all data, including all text, sound, video, image files or software, that are provided to Microsoft, by or on behalf of a Customer (or that Customer authorizes Microsoft to obtain from an Online Service) or otherwise obtained or processed by or on behalf of Microsoft through an engagement with Microsoft to obtain Professional Services.</w:t>
      </w:r>
    </w:p>
    <w:p w14:paraId="7D78F0A7" w14:textId="5DDD5BB7" w:rsidR="000A545F" w:rsidRPr="00964F73" w:rsidRDefault="000A545F" w:rsidP="00034025">
      <w:pPr>
        <w:pStyle w:val="FVL-Amend-Body"/>
        <w:spacing w:after="120"/>
        <w:rPr>
          <w:szCs w:val="22"/>
        </w:rPr>
      </w:pPr>
      <w:r w:rsidRPr="00964F73">
        <w:rPr>
          <w:szCs w:val="22"/>
        </w:rPr>
        <w:t>“Protected Health Information” shall have the same meaning as the term “protected health information” in 45 CFR § 160.103 of HIPAA, provided that it is limited to such protected health information that is received by Microsoft from, or created, received, maintained, or transmitted by Microsoft on behalf of, Customer</w:t>
      </w:r>
      <w:r>
        <w:rPr>
          <w:szCs w:val="22"/>
        </w:rPr>
        <w:t xml:space="preserve"> (a) through the use of the Microsoft </w:t>
      </w:r>
      <w:r w:rsidR="001F49B5">
        <w:rPr>
          <w:szCs w:val="22"/>
        </w:rPr>
        <w:t xml:space="preserve">BAA-Scope </w:t>
      </w:r>
      <w:r>
        <w:rPr>
          <w:szCs w:val="22"/>
        </w:rPr>
        <w:t>Services</w:t>
      </w:r>
      <w:r w:rsidR="00671A7E">
        <w:rPr>
          <w:szCs w:val="22"/>
        </w:rPr>
        <w:t xml:space="preserve">, </w:t>
      </w:r>
      <w:r>
        <w:rPr>
          <w:szCs w:val="22"/>
        </w:rPr>
        <w:t>(b) for Microsoft’s performance of the FastTrack Services</w:t>
      </w:r>
      <w:r w:rsidR="00671A7E">
        <w:rPr>
          <w:szCs w:val="22"/>
        </w:rPr>
        <w:t xml:space="preserve">, or (c) through </w:t>
      </w:r>
      <w:r w:rsidR="00D41DE3">
        <w:rPr>
          <w:szCs w:val="22"/>
        </w:rPr>
        <w:t>Microsoft’s provision of</w:t>
      </w:r>
      <w:r w:rsidR="00671A7E">
        <w:rPr>
          <w:szCs w:val="22"/>
        </w:rPr>
        <w:t xml:space="preserve"> Professional Services. </w:t>
      </w:r>
    </w:p>
    <w:p w14:paraId="23B53706" w14:textId="77777777" w:rsidR="000A545F" w:rsidRDefault="000A545F" w:rsidP="00034025">
      <w:pPr>
        <w:pStyle w:val="FVL-Amend-Body"/>
        <w:spacing w:after="120"/>
        <w:rPr>
          <w:szCs w:val="22"/>
        </w:rPr>
      </w:pPr>
      <w:r w:rsidRPr="00964F73">
        <w:rPr>
          <w:szCs w:val="22"/>
        </w:rPr>
        <w:t>“Security Rule” means the Security Standards for the Protection of Electronic Protected Health Information.</w:t>
      </w:r>
    </w:p>
    <w:p w14:paraId="092ACF7D" w14:textId="77777777" w:rsidR="00034025" w:rsidRPr="00964F73" w:rsidRDefault="00034025" w:rsidP="00034025">
      <w:pPr>
        <w:pStyle w:val="FVL-Amend-Body"/>
        <w:spacing w:before="0"/>
        <w:rPr>
          <w:color w:val="auto"/>
          <w:szCs w:val="22"/>
        </w:rPr>
      </w:pPr>
    </w:p>
    <w:p w14:paraId="7A0C9A7F" w14:textId="77777777" w:rsidR="000A545F" w:rsidRDefault="000A545F" w:rsidP="00034025">
      <w:pPr>
        <w:pStyle w:val="GVL-Amend-SS-Lvl-1-Title"/>
        <w:spacing w:before="120" w:after="120"/>
        <w:jc w:val="both"/>
        <w:rPr>
          <w:rFonts w:eastAsia="Times New Roman"/>
          <w:b w:val="0"/>
          <w:i w:val="0"/>
        </w:rPr>
      </w:pPr>
      <w:r>
        <w:t>Permitted Uses and Disclosures of Protected Health Information.</w:t>
      </w:r>
    </w:p>
    <w:p w14:paraId="508FF89D" w14:textId="1014668E" w:rsidR="000A545F" w:rsidRPr="009E3E91" w:rsidRDefault="000A545F" w:rsidP="00034025">
      <w:pPr>
        <w:numPr>
          <w:ilvl w:val="0"/>
          <w:numId w:val="2"/>
        </w:numPr>
        <w:tabs>
          <w:tab w:val="left" w:pos="720"/>
          <w:tab w:val="left" w:pos="1080"/>
        </w:tabs>
        <w:snapToGrid w:val="0"/>
        <w:spacing w:after="120"/>
        <w:outlineLvl w:val="1"/>
        <w:rPr>
          <w:rFonts w:cs="Arial"/>
          <w:sz w:val="22"/>
          <w:szCs w:val="22"/>
        </w:rPr>
      </w:pPr>
      <w:r w:rsidRPr="009E3E91">
        <w:rPr>
          <w:b/>
          <w:sz w:val="22"/>
          <w:szCs w:val="22"/>
        </w:rPr>
        <w:t>Performance of the Agreement.</w:t>
      </w:r>
      <w:r w:rsidRPr="009E3E91">
        <w:rPr>
          <w:sz w:val="22"/>
          <w:szCs w:val="22"/>
        </w:rPr>
        <w:t xml:space="preserve">  Except as otherwise limited in this BAA, Microsoft may Use and Disclose Protected Health Information for, or on behalf of, Customer as specified in the Agreement</w:t>
      </w:r>
      <w:r w:rsidRPr="009E3E91">
        <w:rPr>
          <w:rFonts w:cs="Arial"/>
          <w:sz w:val="22"/>
          <w:szCs w:val="22"/>
        </w:rPr>
        <w:t>; provided that any such Use or Disclosure would not violate HIPAA if done by Customer, unless expressly permitted under paragraph b of this Section.</w:t>
      </w:r>
    </w:p>
    <w:p w14:paraId="3E419041" w14:textId="77777777" w:rsidR="000A545F" w:rsidRDefault="000A545F" w:rsidP="00034025">
      <w:pPr>
        <w:pStyle w:val="HVL-Amend-SS-Lvl-2"/>
        <w:numPr>
          <w:ilvl w:val="0"/>
          <w:numId w:val="2"/>
        </w:numPr>
        <w:spacing w:after="120"/>
      </w:pPr>
      <w:r>
        <w:rPr>
          <w:b/>
        </w:rPr>
        <w:t>Management, Administration, and Legal Responsibilities.</w:t>
      </w:r>
      <w:r>
        <w:t xml:space="preserve">  Except as otherwise limited in this BAA, Microsoft may Use and Disclose Protected Health Information for the proper management and administration of Microsoft and/or to carry out the legal responsibilities of Microsoft, provided that any Disclosure may occur only if: (1) Required by Law; or (2) Microsoft obtains written reasonable assurances from the person to whom the Protected Health Information is Disclosed that it will be held confidentially and Used or further Disclosed only as Required by Law or for the purpose for which it was Disclosed to the person, and the person notifies Microsoft of any instances of which it becomes aware in which the confidentiality of the Protected Health Information has been breached.</w:t>
      </w:r>
    </w:p>
    <w:p w14:paraId="61235331" w14:textId="77777777" w:rsidR="00034025" w:rsidRDefault="00034025" w:rsidP="00034025">
      <w:pPr>
        <w:pStyle w:val="HVL-Amend-SS-Lvl-2"/>
        <w:numPr>
          <w:ilvl w:val="0"/>
          <w:numId w:val="0"/>
        </w:numPr>
        <w:spacing w:before="0"/>
        <w:ind w:left="1080"/>
      </w:pPr>
    </w:p>
    <w:p w14:paraId="7447D2B2" w14:textId="77777777" w:rsidR="000A545F" w:rsidRDefault="000A545F" w:rsidP="00034025">
      <w:pPr>
        <w:pStyle w:val="GVL-Amend-SS-Lvl-1-Title"/>
        <w:spacing w:before="120" w:after="120"/>
        <w:jc w:val="both"/>
      </w:pPr>
      <w:r>
        <w:t>Responsibilities of the Parties with Respect to Protected Health Information.</w:t>
      </w:r>
    </w:p>
    <w:p w14:paraId="026AE2A4" w14:textId="77777777" w:rsidR="000A545F" w:rsidRPr="003957DF" w:rsidRDefault="000A545F" w:rsidP="00034025">
      <w:pPr>
        <w:pStyle w:val="HVL-Amend-SS-Lvl-2"/>
        <w:spacing w:after="120"/>
        <w:rPr>
          <w:szCs w:val="22"/>
        </w:rPr>
      </w:pPr>
      <w:r w:rsidRPr="003957DF">
        <w:rPr>
          <w:b/>
          <w:bCs/>
          <w:szCs w:val="22"/>
        </w:rPr>
        <w:t>Microsoft’s Responsibilities.</w:t>
      </w:r>
      <w:r w:rsidRPr="003957DF">
        <w:rPr>
          <w:szCs w:val="22"/>
        </w:rPr>
        <w:t xml:space="preserve">  To the extent Microsoft is acting as a Business Associate, Microsoft agrees to the following:</w:t>
      </w:r>
    </w:p>
    <w:p w14:paraId="59855750" w14:textId="67065361" w:rsidR="000A545F" w:rsidRPr="00964F73" w:rsidRDefault="000A545F" w:rsidP="00034025">
      <w:pPr>
        <w:pStyle w:val="IVL-Amend-SS-Lvl-3"/>
        <w:tabs>
          <w:tab w:val="clear" w:pos="1440"/>
          <w:tab w:val="left" w:pos="1530"/>
        </w:tabs>
        <w:spacing w:after="120"/>
        <w:ind w:left="1530" w:hanging="450"/>
      </w:pPr>
      <w:r w:rsidRPr="777FF740">
        <w:rPr>
          <w:b/>
        </w:rPr>
        <w:lastRenderedPageBreak/>
        <w:t>Limitations on Use and Disclosure.</w:t>
      </w:r>
      <w:r>
        <w:t xml:space="preserve">  Microsoft shall not Use and/or Disclose the Protected Health Information other than as permitted or required by the Agreement and/or this BAA or as otherwise Required by Law.  Microsoft shall not disclose, capture, maintain, scan, index, transmit, share or Use Protected Health Information for any activity not authorized under the Agreement and/or this BAA.  Microsoft </w:t>
      </w:r>
      <w:r w:rsidR="00BC0A1A">
        <w:t xml:space="preserve">BAA-Scope </w:t>
      </w:r>
      <w:r>
        <w:t>Services</w:t>
      </w:r>
      <w:r w:rsidR="004428DD">
        <w:t>,</w:t>
      </w:r>
      <w:r>
        <w:t xml:space="preserve"> FastTrack Services</w:t>
      </w:r>
      <w:r w:rsidR="004428DD">
        <w:t>,</w:t>
      </w:r>
      <w:r w:rsidR="00453B9D">
        <w:t xml:space="preserve"> and Professional Services</w:t>
      </w:r>
      <w:r>
        <w:t xml:space="preserve"> shall </w:t>
      </w:r>
      <w:r w:rsidR="00453B9D">
        <w:t xml:space="preserve">not </w:t>
      </w:r>
      <w:r>
        <w:t xml:space="preserve">use Protected Health Information for any advertising, </w:t>
      </w:r>
      <w:proofErr w:type="gramStart"/>
      <w:r>
        <w:t>Marketing</w:t>
      </w:r>
      <w:proofErr w:type="gramEnd"/>
      <w:r>
        <w:t xml:space="preserve"> or </w:t>
      </w:r>
      <w:r w:rsidR="43EC8655">
        <w:t>similar</w:t>
      </w:r>
      <w:r>
        <w:t xml:space="preserve"> commercial purpose of Microsoft or any third party.  Microsoft shall not violate the HIPAA prohibition on the sale of Protected Health Information.  Microsoft shall make reasonable efforts to Use, Disclose, and/or request the minimum necessary Protected Health Information to accomplish the intended purpose of such Use, Disclosure, or request.</w:t>
      </w:r>
    </w:p>
    <w:p w14:paraId="6B737892" w14:textId="76305566" w:rsidR="000A545F" w:rsidRPr="00964F73" w:rsidRDefault="000A545F" w:rsidP="00034025">
      <w:pPr>
        <w:pStyle w:val="IVL-Amend-SS-Lvl-3"/>
        <w:tabs>
          <w:tab w:val="clear" w:pos="1440"/>
          <w:tab w:val="left" w:pos="1530"/>
        </w:tabs>
        <w:spacing w:after="120"/>
        <w:ind w:left="1530" w:hanging="450"/>
        <w:rPr>
          <w:szCs w:val="22"/>
        </w:rPr>
      </w:pPr>
      <w:r w:rsidRPr="00964F73">
        <w:rPr>
          <w:b/>
          <w:szCs w:val="22"/>
        </w:rPr>
        <w:t>Safeguards.</w:t>
      </w:r>
      <w:r>
        <w:rPr>
          <w:szCs w:val="22"/>
        </w:rPr>
        <w:t xml:space="preserve">  Microsoft shall: (1) </w:t>
      </w:r>
      <w:r w:rsidRPr="00964F73">
        <w:rPr>
          <w:szCs w:val="22"/>
        </w:rPr>
        <w:t xml:space="preserve">use reasonable and appropriate safeguards to prevent Use and Disclosure of Protected Health Information other than as </w:t>
      </w:r>
      <w:r w:rsidR="00754DD4">
        <w:rPr>
          <w:szCs w:val="22"/>
        </w:rPr>
        <w:t>permitted</w:t>
      </w:r>
      <w:r w:rsidRPr="00964F73">
        <w:rPr>
          <w:szCs w:val="22"/>
        </w:rPr>
        <w:t xml:space="preserve"> in </w:t>
      </w:r>
      <w:r w:rsidR="00BC0A1A">
        <w:rPr>
          <w:szCs w:val="22"/>
        </w:rPr>
        <w:t xml:space="preserve">Section 2 </w:t>
      </w:r>
      <w:r w:rsidR="00E61CA1">
        <w:rPr>
          <w:szCs w:val="22"/>
        </w:rPr>
        <w:t>herein</w:t>
      </w:r>
      <w:r>
        <w:rPr>
          <w:szCs w:val="22"/>
        </w:rPr>
        <w:t xml:space="preserve">; and (2) </w:t>
      </w:r>
      <w:r w:rsidRPr="00964F73">
        <w:rPr>
          <w:szCs w:val="22"/>
        </w:rPr>
        <w:t>comply with the applicable requirements of 45 CFR Part 164 Subpart</w:t>
      </w:r>
      <w:r>
        <w:rPr>
          <w:szCs w:val="22"/>
        </w:rPr>
        <w:t xml:space="preserve"> </w:t>
      </w:r>
      <w:r w:rsidRPr="00964F73">
        <w:rPr>
          <w:szCs w:val="22"/>
        </w:rPr>
        <w:t>C of the Security Rule.</w:t>
      </w:r>
    </w:p>
    <w:p w14:paraId="47E56815" w14:textId="275F7D15" w:rsidR="000A545F" w:rsidRPr="00964F73" w:rsidRDefault="000A545F" w:rsidP="00034025">
      <w:pPr>
        <w:pStyle w:val="IVL-Amend-SS-Lvl-3"/>
        <w:tabs>
          <w:tab w:val="clear" w:pos="1440"/>
          <w:tab w:val="left" w:pos="1530"/>
        </w:tabs>
        <w:spacing w:after="120"/>
        <w:ind w:left="1530" w:hanging="450"/>
        <w:rPr>
          <w:szCs w:val="22"/>
        </w:rPr>
      </w:pPr>
      <w:r w:rsidRPr="00964F73">
        <w:rPr>
          <w:b/>
          <w:szCs w:val="22"/>
        </w:rPr>
        <w:t>Reporting.</w:t>
      </w:r>
      <w:r w:rsidRPr="00964F73">
        <w:rPr>
          <w:szCs w:val="22"/>
        </w:rPr>
        <w:t xml:space="preserve">  Microsof</w:t>
      </w:r>
      <w:r>
        <w:rPr>
          <w:szCs w:val="22"/>
        </w:rPr>
        <w:t xml:space="preserve">t shall report to Customer: (1) </w:t>
      </w:r>
      <w:r w:rsidRPr="00964F73">
        <w:rPr>
          <w:szCs w:val="22"/>
        </w:rPr>
        <w:t>any Use and/or Disclosure of Protected Health Information that is not permitted or required by this BAA of whi</w:t>
      </w:r>
      <w:r>
        <w:rPr>
          <w:szCs w:val="22"/>
        </w:rPr>
        <w:t xml:space="preserve">ch Microsoft becomes aware; (2) </w:t>
      </w:r>
      <w:r w:rsidRPr="00964F73">
        <w:rPr>
          <w:szCs w:val="22"/>
        </w:rPr>
        <w:t>any Security Incident of which it becomes aware, provided that notice is hereby deemed given for Unsuccessful Security Incidents and no further notice of such Unsuccessful Security Incid</w:t>
      </w:r>
      <w:r>
        <w:rPr>
          <w:szCs w:val="22"/>
        </w:rPr>
        <w:t xml:space="preserve">ents shall be given; and/or (3) </w:t>
      </w:r>
      <w:r w:rsidRPr="00964F73">
        <w:rPr>
          <w:szCs w:val="22"/>
        </w:rPr>
        <w:t>any Breach of Customer’s Unsecured Protected Health Information that Microsoft may discov</w:t>
      </w:r>
      <w:r>
        <w:rPr>
          <w:szCs w:val="22"/>
        </w:rPr>
        <w:t xml:space="preserve">er (in accordance with 45 CFR § </w:t>
      </w:r>
      <w:r w:rsidRPr="00964F73">
        <w:rPr>
          <w:szCs w:val="22"/>
        </w:rPr>
        <w:t xml:space="preserve">164.410 of the Breach Notification Rule).  Notification of a Breach will be made without unreasonable delay, but in no event more than </w:t>
      </w:r>
      <w:r w:rsidR="00170852">
        <w:rPr>
          <w:szCs w:val="22"/>
        </w:rPr>
        <w:t>seventy-two (72) hours</w:t>
      </w:r>
      <w:r w:rsidRPr="00964F73">
        <w:rPr>
          <w:szCs w:val="22"/>
        </w:rPr>
        <w:t xml:space="preserve"> after </w:t>
      </w:r>
      <w:r>
        <w:rPr>
          <w:szCs w:val="22"/>
        </w:rPr>
        <w:t xml:space="preserve">Microsoft’s </w:t>
      </w:r>
      <w:r w:rsidR="00BC0A1A">
        <w:rPr>
          <w:szCs w:val="22"/>
        </w:rPr>
        <w:t xml:space="preserve">discovery </w:t>
      </w:r>
      <w:r w:rsidRPr="00964F73">
        <w:rPr>
          <w:szCs w:val="22"/>
        </w:rPr>
        <w:t xml:space="preserve">of a Breach.  </w:t>
      </w:r>
      <w:proofErr w:type="gramStart"/>
      <w:r w:rsidRPr="00964F73">
        <w:rPr>
          <w:szCs w:val="22"/>
        </w:rPr>
        <w:t>Taking into account</w:t>
      </w:r>
      <w:proofErr w:type="gramEnd"/>
      <w:r w:rsidRPr="00964F73">
        <w:rPr>
          <w:szCs w:val="22"/>
        </w:rPr>
        <w:t xml:space="preserve"> the level of risk reasonably likely to be presented by the Use, Disclosure, Security Incident, or Breach, the timing of other reporting will be made consistent with Microsoft’s and Customer’s legal obligations.</w:t>
      </w:r>
    </w:p>
    <w:p w14:paraId="46D6CEF6" w14:textId="77777777" w:rsidR="000A545F" w:rsidRPr="00964F73" w:rsidRDefault="000A545F" w:rsidP="00034025">
      <w:pPr>
        <w:pStyle w:val="I1VL-Amend-SS-Lvl-3-Body"/>
        <w:tabs>
          <w:tab w:val="left" w:pos="1530"/>
        </w:tabs>
        <w:spacing w:after="120"/>
        <w:ind w:left="1530"/>
        <w:rPr>
          <w:szCs w:val="22"/>
        </w:rPr>
      </w:pPr>
      <w:r w:rsidRPr="00964F73">
        <w:rPr>
          <w:szCs w:val="22"/>
        </w:rPr>
        <w:t xml:space="preserve">For purposes of this Section, “Unsuccessful Security Incidents” mean, without limitation, pings and other broadcast attacks on Microsoft’s firewall, port scans, unsuccessful log-on attempts, denial of service attacks, and any combination of the above, </w:t>
      </w:r>
      <w:proofErr w:type="gramStart"/>
      <w:r w:rsidRPr="00964F73">
        <w:rPr>
          <w:szCs w:val="22"/>
        </w:rPr>
        <w:t>as long as</w:t>
      </w:r>
      <w:proofErr w:type="gramEnd"/>
      <w:r w:rsidRPr="00964F73">
        <w:rPr>
          <w:szCs w:val="22"/>
        </w:rPr>
        <w:t xml:space="preserve"> no such incident results in unauthorized access, acquisition, Use, or Disclosure of Protected Health Information.  Notification(s) under this Section, if any, will be delivered to contacts identified by Customer pursuant to Section</w:t>
      </w:r>
      <w:r>
        <w:rPr>
          <w:szCs w:val="22"/>
        </w:rPr>
        <w:t xml:space="preserve"> </w:t>
      </w:r>
      <w:r w:rsidRPr="00964F73">
        <w:rPr>
          <w:szCs w:val="22"/>
        </w:rPr>
        <w:t>3b(ii) (Contact Information for Notices) of this BAA by any means Microsoft selects, including through e</w:t>
      </w:r>
      <w:r w:rsidRPr="00964F73">
        <w:rPr>
          <w:szCs w:val="22"/>
        </w:rPr>
        <w:noBreakHyphen/>
        <w:t>mail.  Microsoft’s obligation to report under this Section is not and will not be construed as an acknowledgement by Microsoft of any fault or liability with respect to any Use, Disclosure, Security Incident, or Breach.</w:t>
      </w:r>
    </w:p>
    <w:p w14:paraId="39CE8B55" w14:textId="77777777" w:rsidR="000A545F" w:rsidRPr="003957DF" w:rsidRDefault="000A545F" w:rsidP="00034025">
      <w:pPr>
        <w:pStyle w:val="IVL-Amend-SS-Lvl-3"/>
        <w:tabs>
          <w:tab w:val="clear" w:pos="1440"/>
          <w:tab w:val="left" w:pos="1530"/>
        </w:tabs>
        <w:spacing w:after="120"/>
        <w:ind w:left="1530" w:hanging="450"/>
        <w:rPr>
          <w:szCs w:val="22"/>
        </w:rPr>
      </w:pPr>
      <w:r w:rsidRPr="00964F73">
        <w:rPr>
          <w:b/>
          <w:bCs/>
          <w:szCs w:val="22"/>
        </w:rPr>
        <w:t>Subcontractors.</w:t>
      </w:r>
      <w:r>
        <w:rPr>
          <w:szCs w:val="22"/>
        </w:rPr>
        <w:t xml:space="preserve">  In accordance with 45 CFR §§ </w:t>
      </w:r>
      <w:r w:rsidRPr="00964F73">
        <w:rPr>
          <w:szCs w:val="22"/>
        </w:rPr>
        <w:t>164.502(e)(1)(ii) and 164.308(b)(2) of HIPAA, Microsoft shall require its Subcontractors who create, receive, maintain, or transmit Protected Health Information on behalf of Mic</w:t>
      </w:r>
      <w:r>
        <w:rPr>
          <w:szCs w:val="22"/>
        </w:rPr>
        <w:t xml:space="preserve">rosoft to agree in writing to: (1) </w:t>
      </w:r>
      <w:r w:rsidRPr="00964F73">
        <w:rPr>
          <w:szCs w:val="22"/>
        </w:rPr>
        <w:t>the same or more stringent restrictions and conditions that apply to Microsoft with respect to such Protecte</w:t>
      </w:r>
      <w:r>
        <w:rPr>
          <w:szCs w:val="22"/>
        </w:rPr>
        <w:t xml:space="preserve">d Health Information; (2) </w:t>
      </w:r>
      <w:r w:rsidRPr="00964F73">
        <w:rPr>
          <w:szCs w:val="22"/>
        </w:rPr>
        <w:t>appropriately safeguard the Protec</w:t>
      </w:r>
      <w:r>
        <w:rPr>
          <w:szCs w:val="22"/>
        </w:rPr>
        <w:t xml:space="preserve">ted Health Information; and (3) </w:t>
      </w:r>
      <w:r w:rsidRPr="00964F73">
        <w:rPr>
          <w:szCs w:val="22"/>
        </w:rPr>
        <w:t>comply with the applicable requirem</w:t>
      </w:r>
      <w:r>
        <w:rPr>
          <w:szCs w:val="22"/>
        </w:rPr>
        <w:t xml:space="preserve">ents of 45 CFR Part 164 Subpart </w:t>
      </w:r>
      <w:r w:rsidRPr="00964F73">
        <w:rPr>
          <w:szCs w:val="22"/>
        </w:rPr>
        <w:t>C of the Security Rule.</w:t>
      </w:r>
      <w:r>
        <w:rPr>
          <w:szCs w:val="22"/>
        </w:rPr>
        <w:t xml:space="preserve"> </w:t>
      </w:r>
      <w:r w:rsidRPr="00964F73">
        <w:rPr>
          <w:rFonts w:eastAsia="Times New Roman"/>
          <w:szCs w:val="22"/>
        </w:rPr>
        <w:t xml:space="preserve"> Microsoft remains responsible for its </w:t>
      </w:r>
      <w:r>
        <w:rPr>
          <w:rFonts w:eastAsia="Times New Roman"/>
          <w:szCs w:val="22"/>
        </w:rPr>
        <w:t>S</w:t>
      </w:r>
      <w:r w:rsidRPr="00964F73">
        <w:rPr>
          <w:rFonts w:eastAsia="Times New Roman"/>
          <w:szCs w:val="22"/>
        </w:rPr>
        <w:t>ubcontractors’ compliance with obligations in this BAA.</w:t>
      </w:r>
    </w:p>
    <w:p w14:paraId="43C41F29" w14:textId="769B53DB" w:rsidR="000A545F" w:rsidRPr="003957DF" w:rsidRDefault="000A545F" w:rsidP="00034025">
      <w:pPr>
        <w:pStyle w:val="IVL-Amend-SS-Lvl-3"/>
        <w:tabs>
          <w:tab w:val="clear" w:pos="1440"/>
          <w:tab w:val="left" w:pos="1530"/>
        </w:tabs>
        <w:spacing w:after="120"/>
        <w:ind w:left="1530" w:hanging="450"/>
        <w:rPr>
          <w:szCs w:val="22"/>
        </w:rPr>
      </w:pPr>
      <w:r w:rsidRPr="00964F73">
        <w:rPr>
          <w:b/>
          <w:bCs/>
          <w:szCs w:val="22"/>
        </w:rPr>
        <w:lastRenderedPageBreak/>
        <w:t>Disclosure to the Secretary.</w:t>
      </w:r>
      <w:r w:rsidRPr="00964F73">
        <w:rPr>
          <w:szCs w:val="22"/>
        </w:rPr>
        <w:t xml:space="preserve">  Microsoft shall make available its internal practices, records, and books relating to the Use and/or Disclosure of Protected Health Information received from Customer to the Secretary of the Department of Health and Human Services for purposes of determining Customer’s compliance with HIPAA, subject to attorney-client and other applicable legal privileges.</w:t>
      </w:r>
      <w:r w:rsidRPr="00964F73">
        <w:rPr>
          <w:rFonts w:eastAsia="Times New Roman"/>
          <w:szCs w:val="22"/>
        </w:rPr>
        <w:t xml:space="preserve"> </w:t>
      </w:r>
      <w:r>
        <w:rPr>
          <w:rFonts w:eastAsia="Times New Roman"/>
          <w:szCs w:val="22"/>
        </w:rPr>
        <w:t xml:space="preserve"> </w:t>
      </w:r>
      <w:r w:rsidRPr="00964F73">
        <w:rPr>
          <w:rFonts w:eastAsia="Times New Roman"/>
          <w:szCs w:val="22"/>
        </w:rPr>
        <w:t>Microsoft shall respond to any such request from the Secretary in accordance with</w:t>
      </w:r>
      <w:r w:rsidR="00804EFC">
        <w:rPr>
          <w:rFonts w:eastAsia="Times New Roman"/>
          <w:szCs w:val="22"/>
        </w:rPr>
        <w:t>: (</w:t>
      </w:r>
      <w:proofErr w:type="spellStart"/>
      <w:r w:rsidR="00804EFC">
        <w:rPr>
          <w:rFonts w:eastAsia="Times New Roman"/>
          <w:szCs w:val="22"/>
        </w:rPr>
        <w:t>i</w:t>
      </w:r>
      <w:proofErr w:type="spellEnd"/>
      <w:r w:rsidR="00804EFC">
        <w:rPr>
          <w:rFonts w:eastAsia="Times New Roman"/>
          <w:szCs w:val="22"/>
        </w:rPr>
        <w:t>) for Customer Data or FastTrack Data,</w:t>
      </w:r>
      <w:r w:rsidRPr="00964F73">
        <w:rPr>
          <w:rFonts w:eastAsia="Times New Roman"/>
          <w:szCs w:val="22"/>
        </w:rPr>
        <w:t xml:space="preserve"> the </w:t>
      </w:r>
      <w:r w:rsidRPr="00804EFC">
        <w:rPr>
          <w:rFonts w:eastAsia="Times New Roman"/>
          <w:szCs w:val="22"/>
        </w:rPr>
        <w:t xml:space="preserve">Section titled “Disclosure of </w:t>
      </w:r>
      <w:r w:rsidR="00BC0A1A" w:rsidRPr="00804EFC">
        <w:rPr>
          <w:rFonts w:eastAsia="Times New Roman"/>
          <w:szCs w:val="22"/>
        </w:rPr>
        <w:t xml:space="preserve">Processed </w:t>
      </w:r>
      <w:r w:rsidRPr="00804EFC">
        <w:rPr>
          <w:rFonts w:eastAsia="Times New Roman"/>
          <w:szCs w:val="22"/>
        </w:rPr>
        <w:t>Data”</w:t>
      </w:r>
      <w:r w:rsidR="00A6404C" w:rsidRPr="00804EFC">
        <w:rPr>
          <w:rFonts w:eastAsia="Times New Roman"/>
          <w:szCs w:val="22"/>
        </w:rPr>
        <w:t xml:space="preserve"> </w:t>
      </w:r>
      <w:r w:rsidR="00047B00" w:rsidRPr="00804EFC">
        <w:rPr>
          <w:rFonts w:eastAsia="Times New Roman"/>
          <w:szCs w:val="22"/>
        </w:rPr>
        <w:t>within the</w:t>
      </w:r>
      <w:r w:rsidR="00804EFC" w:rsidRPr="00804EFC">
        <w:rPr>
          <w:rFonts w:eastAsia="Times New Roman"/>
          <w:szCs w:val="22"/>
        </w:rPr>
        <w:t xml:space="preserve"> </w:t>
      </w:r>
      <w:r w:rsidR="00804EFC" w:rsidRPr="00804EFC">
        <w:rPr>
          <w:szCs w:val="22"/>
        </w:rPr>
        <w:t>Online Services Data Protection Addendum</w:t>
      </w:r>
      <w:r w:rsidR="00804EFC">
        <w:rPr>
          <w:szCs w:val="22"/>
        </w:rPr>
        <w:t>, or (ii) for Professional Services Data, the Section titled</w:t>
      </w:r>
      <w:r w:rsidR="00047B00" w:rsidRPr="00804EFC">
        <w:rPr>
          <w:rFonts w:eastAsia="Times New Roman"/>
          <w:szCs w:val="22"/>
        </w:rPr>
        <w:t xml:space="preserve"> </w:t>
      </w:r>
      <w:r w:rsidR="00134E6A" w:rsidRPr="00804EFC">
        <w:rPr>
          <w:rFonts w:eastAsia="Times New Roman"/>
          <w:szCs w:val="22"/>
        </w:rPr>
        <w:t>“Disclosure of Professional Services Data”</w:t>
      </w:r>
      <w:r w:rsidR="00573507" w:rsidRPr="00804EFC">
        <w:rPr>
          <w:rFonts w:eastAsia="Times New Roman"/>
          <w:szCs w:val="22"/>
        </w:rPr>
        <w:t xml:space="preserve"> </w:t>
      </w:r>
      <w:r w:rsidR="00804EFC">
        <w:rPr>
          <w:rFonts w:eastAsia="Times New Roman"/>
          <w:szCs w:val="22"/>
        </w:rPr>
        <w:t>within the Professional Services Data Protection Addendum</w:t>
      </w:r>
      <w:r w:rsidRPr="00804EFC">
        <w:rPr>
          <w:rFonts w:eastAsia="Times New Roman"/>
          <w:szCs w:val="22"/>
        </w:rPr>
        <w:t>.</w:t>
      </w:r>
      <w:r w:rsidR="00573507">
        <w:rPr>
          <w:rFonts w:eastAsia="Times New Roman"/>
          <w:szCs w:val="22"/>
        </w:rPr>
        <w:t xml:space="preserve"> </w:t>
      </w:r>
    </w:p>
    <w:p w14:paraId="55EC3538" w14:textId="3FECF803" w:rsidR="000A545F" w:rsidRPr="00964F73" w:rsidRDefault="000A545F" w:rsidP="00034025">
      <w:pPr>
        <w:pStyle w:val="IVL-Amend-SS-Lvl-3"/>
        <w:tabs>
          <w:tab w:val="clear" w:pos="1440"/>
          <w:tab w:val="left" w:pos="1530"/>
        </w:tabs>
        <w:spacing w:after="120"/>
        <w:ind w:left="1530" w:hanging="450"/>
        <w:rPr>
          <w:szCs w:val="22"/>
        </w:rPr>
      </w:pPr>
      <w:r w:rsidRPr="00964F73">
        <w:rPr>
          <w:b/>
          <w:bCs/>
          <w:szCs w:val="22"/>
        </w:rPr>
        <w:t>Access.</w:t>
      </w:r>
      <w:r w:rsidRPr="00964F73">
        <w:rPr>
          <w:szCs w:val="22"/>
        </w:rPr>
        <w:t xml:space="preserve">  </w:t>
      </w:r>
      <w:r w:rsidR="001348E8" w:rsidRPr="001348E8">
        <w:t xml:space="preserve">The parties acknowledge and agree that Microsoft does not maintain Protected Health Information in a Designated Record Set for Customer.  </w:t>
      </w:r>
      <w:proofErr w:type="gramStart"/>
      <w:r w:rsidR="001348E8" w:rsidRPr="001348E8">
        <w:t>In the event that</w:t>
      </w:r>
      <w:proofErr w:type="gramEnd"/>
      <w:r w:rsidR="001348E8" w:rsidRPr="001348E8">
        <w:t xml:space="preserve"> there is a change in the Microsoft BAA-Scope Services</w:t>
      </w:r>
      <w:r w:rsidR="005A01C3">
        <w:t>, FastTrack Services,</w:t>
      </w:r>
      <w:r w:rsidR="00453B9D">
        <w:t xml:space="preserve"> or Professional Services</w:t>
      </w:r>
      <w:r w:rsidR="001348E8" w:rsidRPr="001348E8">
        <w:t xml:space="preserve"> that Microsoft provides to Customer such that Microsoft commences maintaining Protected Health Information in a Designated Record Set, then Microsoft,</w:t>
      </w:r>
      <w:r w:rsidRPr="00964F73">
        <w:rPr>
          <w:szCs w:val="22"/>
        </w:rPr>
        <w:t xml:space="preserve"> at the request of Customer, shall within fifteen (15) days make access to such Protected Health Information available to Custo</w:t>
      </w:r>
      <w:r>
        <w:rPr>
          <w:szCs w:val="22"/>
        </w:rPr>
        <w:t xml:space="preserve">mer in accordance with 45 CFR § </w:t>
      </w:r>
      <w:r w:rsidRPr="00964F73">
        <w:rPr>
          <w:szCs w:val="22"/>
        </w:rPr>
        <w:t>164.524 of the Privacy Rule.</w:t>
      </w:r>
    </w:p>
    <w:p w14:paraId="61C29090" w14:textId="00F363E2" w:rsidR="000A545F" w:rsidRPr="00964F73" w:rsidRDefault="000A545F" w:rsidP="00034025">
      <w:pPr>
        <w:pStyle w:val="IVL-Amend-SS-Lvl-3"/>
        <w:tabs>
          <w:tab w:val="clear" w:pos="1440"/>
          <w:tab w:val="left" w:pos="1530"/>
        </w:tabs>
        <w:spacing w:after="120"/>
        <w:ind w:left="1530" w:hanging="450"/>
        <w:rPr>
          <w:szCs w:val="22"/>
        </w:rPr>
      </w:pPr>
      <w:r w:rsidRPr="00964F73">
        <w:rPr>
          <w:b/>
          <w:bCs/>
          <w:szCs w:val="22"/>
        </w:rPr>
        <w:t>Amendment.</w:t>
      </w:r>
      <w:r w:rsidRPr="00964F73">
        <w:rPr>
          <w:szCs w:val="22"/>
        </w:rPr>
        <w:t xml:space="preserve">  </w:t>
      </w:r>
      <w:r w:rsidR="000B4DEB" w:rsidRPr="00804EFC">
        <w:t>Subject to Section 3.a.vi above,</w:t>
      </w:r>
      <w:r w:rsidR="000B4DEB">
        <w:rPr>
          <w:b/>
          <w:bCs/>
        </w:rPr>
        <w:t xml:space="preserve"> </w:t>
      </w:r>
      <w:r w:rsidR="000B4DEB">
        <w:rPr>
          <w:szCs w:val="22"/>
        </w:rPr>
        <w:t>i</w:t>
      </w:r>
      <w:r w:rsidRPr="00964F73">
        <w:rPr>
          <w:szCs w:val="22"/>
        </w:rPr>
        <w:t xml:space="preserve">f Microsoft maintains Protected Health Information in a Designated Record Set for Customer, then Microsoft, at the request of Customer, shall </w:t>
      </w:r>
      <w:r>
        <w:rPr>
          <w:szCs w:val="22"/>
        </w:rPr>
        <w:t xml:space="preserve">within fifteen (15) days </w:t>
      </w:r>
      <w:r w:rsidRPr="00964F73">
        <w:rPr>
          <w:szCs w:val="22"/>
        </w:rPr>
        <w:t>make available such Protected Health Information to Customer for amendment and incorporate any reasonably requested amendment in the Protected Health Information in accordance with 45 CFR § 164.526 of the Privacy Rule.</w:t>
      </w:r>
    </w:p>
    <w:p w14:paraId="0030E1BF" w14:textId="144B91F2" w:rsidR="000A545F" w:rsidRPr="00964F73" w:rsidRDefault="000A545F" w:rsidP="00034025">
      <w:pPr>
        <w:pStyle w:val="IVL-Amend-SS-Lvl-3"/>
        <w:tabs>
          <w:tab w:val="clear" w:pos="1440"/>
          <w:tab w:val="left" w:pos="1530"/>
        </w:tabs>
        <w:spacing w:after="120"/>
        <w:ind w:left="1530" w:hanging="450"/>
      </w:pPr>
      <w:r w:rsidRPr="3ADAD9C6">
        <w:rPr>
          <w:b/>
        </w:rPr>
        <w:t>Accounting of Disclosure.</w:t>
      </w:r>
      <w:r>
        <w:t xml:space="preserve">  Microsoft, at the request of Customer, shall within </w:t>
      </w:r>
      <w:r w:rsidR="16407BED">
        <w:t>thirty (30)</w:t>
      </w:r>
      <w:r>
        <w:t xml:space="preserve"> days make available to Customer such information relating to Disclosures made by Microsoft as required for Customer to make any requested accounting of Disclosures in accordance with 45 CFR § 164.528 of the Privacy Rule.</w:t>
      </w:r>
    </w:p>
    <w:p w14:paraId="6E511268" w14:textId="77777777" w:rsidR="000A545F" w:rsidRPr="00964F73" w:rsidRDefault="000A545F" w:rsidP="00034025">
      <w:pPr>
        <w:pStyle w:val="IVL-Amend-SS-Lvl-3"/>
        <w:tabs>
          <w:tab w:val="clear" w:pos="1440"/>
          <w:tab w:val="left" w:pos="1530"/>
        </w:tabs>
        <w:spacing w:after="120"/>
        <w:ind w:left="1530" w:hanging="450"/>
        <w:rPr>
          <w:szCs w:val="22"/>
        </w:rPr>
      </w:pPr>
      <w:r w:rsidRPr="00964F73">
        <w:rPr>
          <w:b/>
          <w:bCs/>
          <w:szCs w:val="22"/>
        </w:rPr>
        <w:t>Performance of a Covered Entity’s Obligations.</w:t>
      </w:r>
      <w:r w:rsidRPr="00964F73">
        <w:rPr>
          <w:szCs w:val="22"/>
        </w:rPr>
        <w:t xml:space="preserve">  To the extent Microsoft is to carry out a Covered Entity obligation under the Privacy Rule, Microsoft shall comply with the requirements of the Privacy Rule that apply to Customer in the performance of such obligation.</w:t>
      </w:r>
    </w:p>
    <w:p w14:paraId="373C1E90" w14:textId="77777777" w:rsidR="000A545F" w:rsidRPr="00964F73" w:rsidRDefault="000A545F" w:rsidP="00034025">
      <w:pPr>
        <w:pStyle w:val="HVL-Amend-SS-Lvl-2"/>
        <w:spacing w:after="120"/>
        <w:rPr>
          <w:b/>
          <w:szCs w:val="22"/>
        </w:rPr>
      </w:pPr>
      <w:r w:rsidRPr="00964F73">
        <w:rPr>
          <w:b/>
          <w:szCs w:val="22"/>
        </w:rPr>
        <w:t>Customer Responsibilities.</w:t>
      </w:r>
    </w:p>
    <w:p w14:paraId="186D4911" w14:textId="77777777" w:rsidR="000A545F" w:rsidRPr="00964F73" w:rsidRDefault="000A545F" w:rsidP="00034025">
      <w:pPr>
        <w:pStyle w:val="IVL-Amend-SS-Lvl-3"/>
        <w:tabs>
          <w:tab w:val="clear" w:pos="1440"/>
          <w:tab w:val="num" w:pos="1530"/>
        </w:tabs>
        <w:spacing w:after="120"/>
        <w:ind w:left="1530" w:hanging="450"/>
        <w:rPr>
          <w:szCs w:val="22"/>
        </w:rPr>
      </w:pPr>
      <w:r w:rsidRPr="00964F73">
        <w:rPr>
          <w:b/>
          <w:szCs w:val="22"/>
        </w:rPr>
        <w:t>No Impermissible Requests.</w:t>
      </w:r>
      <w:r w:rsidRPr="00964F73">
        <w:rPr>
          <w:szCs w:val="22"/>
        </w:rPr>
        <w:t xml:space="preserve">  Customer shall not request Microsoft to Use or Disclose Protected Health Information in any manner that would not be permissible under HIPAA if done by a Covered Entity (unless permitted by HIPAA for a Business Associate).</w:t>
      </w:r>
    </w:p>
    <w:p w14:paraId="3398C0FB" w14:textId="646CC450" w:rsidR="000A545F" w:rsidRPr="00991847" w:rsidRDefault="000A545F" w:rsidP="00034025">
      <w:pPr>
        <w:pStyle w:val="IVL-Amend-SS-Lvl-3"/>
        <w:tabs>
          <w:tab w:val="clear" w:pos="1440"/>
          <w:tab w:val="num" w:pos="1530"/>
        </w:tabs>
        <w:spacing w:after="120"/>
        <w:rPr>
          <w:color w:val="auto"/>
        </w:rPr>
      </w:pPr>
      <w:r w:rsidRPr="00E62D65">
        <w:rPr>
          <w:b/>
          <w:bCs/>
          <w:color w:val="auto"/>
        </w:rPr>
        <w:t>Contact Information for Notices.</w:t>
      </w:r>
      <w:r w:rsidRPr="00E62D65">
        <w:rPr>
          <w:color w:val="auto"/>
        </w:rPr>
        <w:t xml:space="preserve">  Customer hereby agrees that any reports, notification, or other </w:t>
      </w:r>
      <w:r w:rsidRPr="00034025">
        <w:t>notice by Microsoft pursuant to this BAA</w:t>
      </w:r>
      <w:r w:rsidR="00EC5887" w:rsidRPr="00034025">
        <w:t xml:space="preserve"> will be provided as set forth in the Agreement.</w:t>
      </w:r>
    </w:p>
    <w:p w14:paraId="063032AE" w14:textId="77777777" w:rsidR="000A545F" w:rsidRPr="00964F73" w:rsidRDefault="000A545F" w:rsidP="00034025">
      <w:pPr>
        <w:pStyle w:val="IVL-Amend-SS-Lvl-3"/>
        <w:tabs>
          <w:tab w:val="clear" w:pos="1440"/>
          <w:tab w:val="num" w:pos="1530"/>
        </w:tabs>
        <w:spacing w:after="120"/>
        <w:ind w:left="1530" w:hanging="450"/>
        <w:rPr>
          <w:szCs w:val="22"/>
        </w:rPr>
      </w:pPr>
      <w:r w:rsidRPr="00495CDD">
        <w:rPr>
          <w:b/>
          <w:szCs w:val="22"/>
        </w:rPr>
        <w:t>Safeguards and Appropriate Use of Protected Health Information.</w:t>
      </w:r>
      <w:r w:rsidRPr="00964F73">
        <w:rPr>
          <w:szCs w:val="22"/>
        </w:rPr>
        <w:t xml:space="preserve">  Customer is responsible for implementing appropriate privacy and security safeguards to protect its Protected Health Information in compliance with HIPAA.  Without limitation, it is Customer’s obligation to:</w:t>
      </w:r>
    </w:p>
    <w:p w14:paraId="0214FA5B" w14:textId="490116E2" w:rsidR="000A545F" w:rsidRPr="00804EFC" w:rsidRDefault="000A545F" w:rsidP="00034025">
      <w:pPr>
        <w:pStyle w:val="JVL-Amend-SS-Lvl-4"/>
        <w:spacing w:after="120"/>
        <w:rPr>
          <w:szCs w:val="22"/>
        </w:rPr>
      </w:pPr>
      <w:r w:rsidRPr="00964F73">
        <w:rPr>
          <w:szCs w:val="22"/>
        </w:rPr>
        <w:lastRenderedPageBreak/>
        <w:t>Not include Prote</w:t>
      </w:r>
      <w:r>
        <w:rPr>
          <w:szCs w:val="22"/>
        </w:rPr>
        <w:t xml:space="preserve">cted Health Information </w:t>
      </w:r>
      <w:r w:rsidRPr="00804EFC">
        <w:rPr>
          <w:szCs w:val="22"/>
        </w:rPr>
        <w:t>in: (1) information Customer submits to technical support personnel through a technical support request or to community support forums</w:t>
      </w:r>
      <w:r w:rsidR="00804EFC" w:rsidRPr="00804EFC">
        <w:rPr>
          <w:szCs w:val="22"/>
        </w:rPr>
        <w:t xml:space="preserve"> outside of Professional Services</w:t>
      </w:r>
      <w:r w:rsidR="00B2440D">
        <w:rPr>
          <w:szCs w:val="22"/>
        </w:rPr>
        <w:t>, or</w:t>
      </w:r>
      <w:r w:rsidR="00557E23">
        <w:rPr>
          <w:szCs w:val="22"/>
        </w:rPr>
        <w:t>, for</w:t>
      </w:r>
      <w:r w:rsidR="00B2440D">
        <w:rPr>
          <w:szCs w:val="22"/>
        </w:rPr>
        <w:t xml:space="preserve"> Professional Services</w:t>
      </w:r>
      <w:r w:rsidR="00557E23">
        <w:rPr>
          <w:szCs w:val="22"/>
        </w:rPr>
        <w:t>,</w:t>
      </w:r>
      <w:r w:rsidR="00B2440D">
        <w:rPr>
          <w:szCs w:val="22"/>
        </w:rPr>
        <w:t xml:space="preserve"> </w:t>
      </w:r>
      <w:r w:rsidR="00D7751F">
        <w:rPr>
          <w:szCs w:val="22"/>
        </w:rPr>
        <w:t xml:space="preserve">within the subject or body of a </w:t>
      </w:r>
      <w:r w:rsidR="00516C60">
        <w:rPr>
          <w:szCs w:val="22"/>
        </w:rPr>
        <w:t xml:space="preserve">support </w:t>
      </w:r>
      <w:r w:rsidR="00D7751F">
        <w:rPr>
          <w:szCs w:val="22"/>
        </w:rPr>
        <w:t>case management or support ticket</w:t>
      </w:r>
      <w:r w:rsidRPr="00804EFC">
        <w:rPr>
          <w:szCs w:val="22"/>
        </w:rPr>
        <w:t>; and (2) Customer’s address book or directory information.  In addition, Microsoft does not act as, or have the obligations of, a Business Associate under HIPAA with respect to Customer Data</w:t>
      </w:r>
      <w:r w:rsidR="001B167A" w:rsidRPr="00804EFC">
        <w:rPr>
          <w:szCs w:val="22"/>
        </w:rPr>
        <w:t xml:space="preserve">, </w:t>
      </w:r>
      <w:r w:rsidRPr="00804EFC">
        <w:rPr>
          <w:szCs w:val="22"/>
        </w:rPr>
        <w:t>FastTrack Data</w:t>
      </w:r>
      <w:r w:rsidR="001B167A" w:rsidRPr="00804EFC">
        <w:rPr>
          <w:szCs w:val="22"/>
        </w:rPr>
        <w:t>, or Professional Services Data</w:t>
      </w:r>
      <w:r w:rsidRPr="00804EFC">
        <w:rPr>
          <w:szCs w:val="22"/>
        </w:rPr>
        <w:t xml:space="preserve"> once it is sent to or from Customer outside Microsoft </w:t>
      </w:r>
      <w:r w:rsidR="0094378E" w:rsidRPr="00804EFC">
        <w:rPr>
          <w:szCs w:val="22"/>
        </w:rPr>
        <w:t xml:space="preserve">BAA-Scope </w:t>
      </w:r>
      <w:r w:rsidRPr="00804EFC">
        <w:rPr>
          <w:szCs w:val="22"/>
        </w:rPr>
        <w:t>Services</w:t>
      </w:r>
      <w:r w:rsidR="00453B9D" w:rsidRPr="00804EFC">
        <w:rPr>
          <w:szCs w:val="22"/>
        </w:rPr>
        <w:t xml:space="preserve">, </w:t>
      </w:r>
      <w:r w:rsidRPr="00804EFC">
        <w:rPr>
          <w:szCs w:val="22"/>
        </w:rPr>
        <w:t>FastTrack Services</w:t>
      </w:r>
      <w:r w:rsidR="00453B9D" w:rsidRPr="00804EFC">
        <w:rPr>
          <w:szCs w:val="22"/>
        </w:rPr>
        <w:t>, or Professional Services</w:t>
      </w:r>
      <w:r w:rsidRPr="00804EFC">
        <w:rPr>
          <w:szCs w:val="22"/>
        </w:rPr>
        <w:t xml:space="preserve"> over the public Internet, or if Customer fails to follow applicable instructions regarding physical media transported by a common carrier.</w:t>
      </w:r>
    </w:p>
    <w:p w14:paraId="79D530EC" w14:textId="39621F1E" w:rsidR="000A545F" w:rsidRPr="00034025" w:rsidRDefault="4EC0C1EE" w:rsidP="00034025">
      <w:pPr>
        <w:pStyle w:val="JVL-Amend-SS-Lvl-4"/>
        <w:spacing w:after="120"/>
        <w:rPr>
          <w:rFonts w:asciiTheme="minorHAnsi" w:eastAsiaTheme="minorEastAsia" w:hAnsiTheme="minorHAnsi" w:cstheme="minorBidi"/>
          <w:color w:val="000000" w:themeColor="text1"/>
          <w:szCs w:val="22"/>
        </w:rPr>
      </w:pPr>
      <w:r>
        <w:t>During use of Microsoft BAA-Scope Services or in an engagement with Microsoft to obtain Professional Services or FastTrack Services, i</w:t>
      </w:r>
      <w:r w:rsidR="000A545F">
        <w:t xml:space="preserve">mplement privacy and security safeguards in the systems, applications, and software </w:t>
      </w:r>
      <w:r w:rsidR="00614ADB">
        <w:t xml:space="preserve">that </w:t>
      </w:r>
      <w:r w:rsidR="000A545F">
        <w:t>Customer controls, configures, and uploads</w:t>
      </w:r>
      <w:r w:rsidR="209D1874">
        <w:t>.</w:t>
      </w:r>
    </w:p>
    <w:p w14:paraId="2337160D" w14:textId="77777777" w:rsidR="00034025" w:rsidRPr="00804EFC" w:rsidRDefault="00034025" w:rsidP="00034025">
      <w:pPr>
        <w:pStyle w:val="JVL-Amend-SS-Lvl-4"/>
        <w:numPr>
          <w:ilvl w:val="0"/>
          <w:numId w:val="0"/>
        </w:numPr>
        <w:spacing w:after="120"/>
        <w:ind w:left="1800"/>
        <w:rPr>
          <w:rFonts w:asciiTheme="minorHAnsi" w:eastAsiaTheme="minorEastAsia" w:hAnsiTheme="minorHAnsi" w:cstheme="minorBidi"/>
          <w:color w:val="000000" w:themeColor="text1"/>
          <w:szCs w:val="22"/>
        </w:rPr>
      </w:pPr>
    </w:p>
    <w:p w14:paraId="02C2D2F7" w14:textId="77777777" w:rsidR="000A545F" w:rsidRPr="00804EFC" w:rsidRDefault="000A545F" w:rsidP="00034025">
      <w:pPr>
        <w:pStyle w:val="GVL-Amend-SS-Lvl-1-Title"/>
        <w:spacing w:before="120" w:after="120"/>
        <w:jc w:val="both"/>
        <w:rPr>
          <w:rFonts w:eastAsia="Times New Roman"/>
          <w:b w:val="0"/>
          <w:i w:val="0"/>
        </w:rPr>
      </w:pPr>
      <w:r w:rsidRPr="00804EFC">
        <w:t>Applicability of BAA.</w:t>
      </w:r>
    </w:p>
    <w:p w14:paraId="17BAD441" w14:textId="0FD31787" w:rsidR="00034025" w:rsidRDefault="000A545F" w:rsidP="00034025">
      <w:pPr>
        <w:pStyle w:val="FVL-Amend-Body"/>
        <w:spacing w:after="120"/>
      </w:pPr>
      <w:r>
        <w:t xml:space="preserve">This BAA is applicable to Microsoft </w:t>
      </w:r>
      <w:r w:rsidR="0094378E">
        <w:t xml:space="preserve">BAA-Scope </w:t>
      </w:r>
      <w:r>
        <w:t>Services</w:t>
      </w:r>
      <w:r w:rsidR="006474F2">
        <w:t xml:space="preserve">, </w:t>
      </w:r>
      <w:r>
        <w:t>FastTrack Services</w:t>
      </w:r>
      <w:r w:rsidR="006474F2">
        <w:t>, and Professional Services</w:t>
      </w:r>
      <w:r>
        <w:t xml:space="preserve">.  Microsoft may, from time to time, (a) include additional Microsoft online services </w:t>
      </w:r>
      <w:r>
        <w:rPr>
          <w:szCs w:val="22"/>
        </w:rPr>
        <w:t xml:space="preserve">on the Microsoft Trust Center and/or in the </w:t>
      </w:r>
      <w:r w:rsidR="00EF140D" w:rsidRPr="0FBE397B">
        <w:rPr>
          <w:szCs w:val="22"/>
        </w:rPr>
        <w:t>Online Services Data Protection Addendum</w:t>
      </w:r>
      <w:r>
        <w:rPr>
          <w:szCs w:val="22"/>
        </w:rPr>
        <w:t xml:space="preserve"> incorporated into the Agreement or additional FastTrack Services on the FastTrack Center BAA site, and (b) </w:t>
      </w:r>
      <w:r>
        <w:t xml:space="preserve">update the definition of Microsoft </w:t>
      </w:r>
      <w:r w:rsidR="0094378E">
        <w:t xml:space="preserve">BAA-Scope </w:t>
      </w:r>
      <w:r>
        <w:t>Services</w:t>
      </w:r>
      <w:r w:rsidR="00BB1232">
        <w:t xml:space="preserve">, </w:t>
      </w:r>
      <w:r>
        <w:t>FastTrack Services</w:t>
      </w:r>
      <w:r w:rsidR="00BB1232">
        <w:t>, and Professional Services</w:t>
      </w:r>
      <w:r>
        <w:t xml:space="preserve"> in this BAA, and such updated definitions will apply to Customer without additional action by Customer.  It is Customer’s obligation to not store or process in an online </w:t>
      </w:r>
      <w:proofErr w:type="gramStart"/>
      <w:r>
        <w:t>service, or</w:t>
      </w:r>
      <w:proofErr w:type="gramEnd"/>
      <w:r>
        <w:t xml:space="preserve"> provide to Microsoft for performance of a professional service, protected health information (as that term is defined in </w:t>
      </w:r>
      <w:r w:rsidRPr="007E22A7">
        <w:t>45 CFR § 160.103 of HIPAA</w:t>
      </w:r>
      <w:r>
        <w:t>) until this BAA is effective as to the applicable service.</w:t>
      </w:r>
    </w:p>
    <w:p w14:paraId="48C9E8FB" w14:textId="77777777" w:rsidR="00034025" w:rsidRDefault="00034025" w:rsidP="00034025">
      <w:pPr>
        <w:pStyle w:val="FVL-Amend-Body"/>
        <w:spacing w:after="120"/>
      </w:pPr>
    </w:p>
    <w:p w14:paraId="08C57D29" w14:textId="77777777" w:rsidR="000A545F" w:rsidRDefault="000A545F" w:rsidP="00034025">
      <w:pPr>
        <w:pStyle w:val="GVL-Amend-SS-Lvl-1-Title"/>
        <w:spacing w:before="120" w:after="120"/>
        <w:jc w:val="both"/>
      </w:pPr>
      <w:r>
        <w:t>Term and Termination.</w:t>
      </w:r>
    </w:p>
    <w:p w14:paraId="1B5F3C32" w14:textId="37D78FAD" w:rsidR="000A545F" w:rsidRDefault="000A545F" w:rsidP="00034025">
      <w:pPr>
        <w:pStyle w:val="HVL-Amend-SS-Lvl-2"/>
        <w:spacing w:after="120"/>
      </w:pPr>
      <w:r>
        <w:rPr>
          <w:b/>
          <w:bCs/>
          <w:spacing w:val="-3"/>
        </w:rPr>
        <w:t>Term.</w:t>
      </w:r>
      <w:r>
        <w:rPr>
          <w:spacing w:val="-3"/>
        </w:rPr>
        <w:t xml:space="preserve">  This </w:t>
      </w:r>
      <w:r>
        <w:t>BAA</w:t>
      </w:r>
      <w:r>
        <w:rPr>
          <w:spacing w:val="-3"/>
        </w:rPr>
        <w:t xml:space="preserve"> shall</w:t>
      </w:r>
      <w:r>
        <w:t xml:space="preserve"> continue in effect until the earlier of (1) termination by a Party for breach as set forth in Section 5</w:t>
      </w:r>
      <w:r w:rsidR="009E0B8C">
        <w:t>.</w:t>
      </w:r>
      <w:r>
        <w:t>b</w:t>
      </w:r>
      <w:r w:rsidR="009E0B8C">
        <w:t>.</w:t>
      </w:r>
      <w:r>
        <w:t>, below, or (2) expiration of Customer’s Agreement.</w:t>
      </w:r>
    </w:p>
    <w:p w14:paraId="2F94F820" w14:textId="77777777" w:rsidR="000A545F" w:rsidRDefault="000A545F" w:rsidP="00034025">
      <w:pPr>
        <w:pStyle w:val="HVL-Amend-SS-Lvl-2"/>
        <w:spacing w:after="120"/>
        <w:rPr>
          <w:szCs w:val="18"/>
        </w:rPr>
      </w:pPr>
      <w:r>
        <w:rPr>
          <w:b/>
          <w:bCs/>
        </w:rPr>
        <w:t>Termination for Breach</w:t>
      </w:r>
      <w:r w:rsidRPr="003957DF">
        <w:rPr>
          <w:b/>
          <w:bCs/>
          <w:szCs w:val="22"/>
        </w:rPr>
        <w:t>.</w:t>
      </w:r>
      <w:r w:rsidRPr="003957DF">
        <w:rPr>
          <w:szCs w:val="22"/>
        </w:rPr>
        <w:t xml:space="preserve">  </w:t>
      </w:r>
      <w:r w:rsidRPr="00964F73">
        <w:rPr>
          <w:rFonts w:eastAsia="Times New Roman"/>
          <w:szCs w:val="22"/>
        </w:rPr>
        <w:t>Upon written notice, either Party immediately may terminate the Agreement and this BAA if the other Party is in material breach or default of any obligation in this BAA.  Either party may provide the other a thirty (30) calendar day period to cure a material breach or default within such written notice.</w:t>
      </w:r>
    </w:p>
    <w:p w14:paraId="00FFABC9" w14:textId="2C80E516" w:rsidR="000A545F" w:rsidRDefault="000A545F" w:rsidP="00034025">
      <w:pPr>
        <w:pStyle w:val="HVL-Amend-SS-Lvl-2"/>
        <w:spacing w:after="120"/>
      </w:pPr>
      <w:r>
        <w:rPr>
          <w:b/>
          <w:bCs/>
        </w:rPr>
        <w:t>Return, Destruction, or Retention of Protected Health Information Upon Termination.</w:t>
      </w:r>
      <w:r>
        <w:t xml:space="preserve">  Upon expiration or termination of this BAA, Microsoft shall return or destroy all Protected Health Information in its possession, if it is feasible to do so, and as set forth in the applicable termination provisions of the Agreement.  If</w:t>
      </w:r>
      <w:r w:rsidR="00ED12DD">
        <w:t xml:space="preserve"> </w:t>
      </w:r>
      <w:r>
        <w:t>it is not feasible to return or destroy any portions of the Protected Health Information upon termination of this BAA, then Microsoft shall extend the protections of this BAA, without limitation, to such Protected Health Information and limit any further Use or Disclosure of the Protected Health Information to those purposes that make the return or destruction infeasible for the duration of the retention of the Protected Health Information.</w:t>
      </w:r>
    </w:p>
    <w:p w14:paraId="48A29D70" w14:textId="77777777" w:rsidR="00034025" w:rsidRDefault="00034025" w:rsidP="00034025">
      <w:pPr>
        <w:pStyle w:val="HVL-Amend-SS-Lvl-2"/>
        <w:numPr>
          <w:ilvl w:val="0"/>
          <w:numId w:val="0"/>
        </w:numPr>
        <w:spacing w:after="120"/>
        <w:ind w:left="1080"/>
      </w:pPr>
    </w:p>
    <w:p w14:paraId="6B6DEE6C" w14:textId="77777777" w:rsidR="000A545F" w:rsidRDefault="000A545F" w:rsidP="00034025">
      <w:pPr>
        <w:pStyle w:val="GVL-Amend-SS-Lvl-1-Title"/>
        <w:spacing w:before="120" w:after="120"/>
        <w:jc w:val="both"/>
      </w:pPr>
      <w:bookmarkStart w:id="0" w:name="attachment"/>
      <w:bookmarkEnd w:id="0"/>
      <w:r>
        <w:lastRenderedPageBreak/>
        <w:t>Miscellaneous.</w:t>
      </w:r>
    </w:p>
    <w:p w14:paraId="73608C1C" w14:textId="77777777" w:rsidR="000A545F" w:rsidRDefault="000A545F" w:rsidP="00034025">
      <w:pPr>
        <w:pStyle w:val="HVL-Amend-SS-Lvl-2"/>
        <w:spacing w:after="120"/>
      </w:pPr>
      <w:r>
        <w:rPr>
          <w:b/>
          <w:bCs/>
        </w:rPr>
        <w:t>Interpretation.</w:t>
      </w:r>
      <w:r>
        <w:t xml:space="preserve">  The Parties intend that this BAA be interpreted consistently with their intent to comply with HIPAA and other applicable federal and state law.  Except where this BAA conflicts with the Agreement, all other terms and conditions of the Agreement remain unchanged.  Any captions or headings in this BAA are for the convenience of the Parties and shall not affect the interpretation of this BAA.</w:t>
      </w:r>
    </w:p>
    <w:p w14:paraId="59EC02AF" w14:textId="7E5907F9" w:rsidR="000A545F" w:rsidRDefault="0094378E" w:rsidP="00034025">
      <w:pPr>
        <w:pStyle w:val="HVL-Amend-SS-Lvl-2"/>
        <w:spacing w:after="120"/>
      </w:pPr>
      <w:r>
        <w:rPr>
          <w:b/>
          <w:bCs/>
        </w:rPr>
        <w:t>Amendments</w:t>
      </w:r>
      <w:r w:rsidR="000A545F">
        <w:rPr>
          <w:b/>
          <w:bCs/>
        </w:rPr>
        <w:t>; Waiver.</w:t>
      </w:r>
      <w:r w:rsidR="000A545F">
        <w:t xml:space="preserve">  This BAA may not be modified or amended except in a writing duly </w:t>
      </w:r>
      <w:r w:rsidR="000A545F">
        <w:rPr>
          <w:spacing w:val="-3"/>
        </w:rPr>
        <w:t>signed</w:t>
      </w:r>
      <w:r w:rsidR="000A545F">
        <w:t xml:space="preserve"> by authorized representatives of the Parties.  A waiver with respect to one event shall not be construed as continuing, as a bar to, or as a waiver of any right or remedy as to subsequent events.</w:t>
      </w:r>
    </w:p>
    <w:p w14:paraId="4E2FDECC" w14:textId="77777777" w:rsidR="000A545F" w:rsidRDefault="000A545F" w:rsidP="00034025">
      <w:pPr>
        <w:pStyle w:val="HVL-Amend-SS-Lvl-2"/>
        <w:spacing w:after="120"/>
      </w:pPr>
      <w:r>
        <w:rPr>
          <w:b/>
          <w:bCs/>
        </w:rPr>
        <w:t>No Third-Party Beneficiaries.</w:t>
      </w:r>
      <w:r>
        <w:t xml:space="preserve">  Nothing </w:t>
      </w:r>
      <w:r>
        <w:rPr>
          <w:spacing w:val="-3"/>
        </w:rPr>
        <w:t>express</w:t>
      </w:r>
      <w:r>
        <w:t xml:space="preserve"> or implied in this BAA is intended to confer, nor shall anything in this BAA confer, upon any person other than the Parties, and the respective successors or assigns of the Parties, any rights, remedies, obligations, or liabilities whatsoever.</w:t>
      </w:r>
    </w:p>
    <w:p w14:paraId="1D830F2E" w14:textId="77777777" w:rsidR="000A545F" w:rsidRDefault="000A545F" w:rsidP="00034025">
      <w:pPr>
        <w:pStyle w:val="HVL-Amend-SS-Lvl-2"/>
        <w:spacing w:after="120"/>
      </w:pPr>
      <w:r w:rsidRPr="00D12653">
        <w:rPr>
          <w:b/>
          <w:bCs/>
        </w:rPr>
        <w:t>Severability.</w:t>
      </w:r>
      <w:r>
        <w:t xml:space="preserve">  </w:t>
      </w:r>
      <w:proofErr w:type="gramStart"/>
      <w:r>
        <w:t>In the event that</w:t>
      </w:r>
      <w:proofErr w:type="gramEnd"/>
      <w:r>
        <w:t xml:space="preserve"> any provision of this BAA is found to be invalid or unenforceable, the remainder of this BAA shall not be affected thereby, but rather the remainder of this BAA shall be enforced to the greatest extent permitted by law.</w:t>
      </w:r>
    </w:p>
    <w:p w14:paraId="47EA0DBC" w14:textId="77777777" w:rsidR="000A545F" w:rsidRDefault="000A545F" w:rsidP="00034025">
      <w:pPr>
        <w:pStyle w:val="HVL-Amend-SS-Lvl-2"/>
        <w:spacing w:after="120"/>
      </w:pPr>
      <w:r w:rsidRPr="00A7045A">
        <w:rPr>
          <w:b/>
          <w:bCs/>
          <w:szCs w:val="20"/>
        </w:rPr>
        <w:t>No Agency Relationship.</w:t>
      </w:r>
      <w:r>
        <w:rPr>
          <w:szCs w:val="20"/>
        </w:rPr>
        <w:t xml:space="preserve"> </w:t>
      </w:r>
      <w:r w:rsidRPr="00A7045A">
        <w:rPr>
          <w:szCs w:val="20"/>
        </w:rPr>
        <w:t xml:space="preserve"> </w:t>
      </w:r>
      <w:r w:rsidRPr="00964F73">
        <w:rPr>
          <w:szCs w:val="22"/>
        </w:rPr>
        <w:t>It is not intended that an agency relationship (as defined under the Federal common law of agency) be established hereby expressly or by implication between Customer and Microsoft under HIPAA or the Privacy Rule, Security Rule, or Breach Notification Rule.</w:t>
      </w:r>
      <w:r>
        <w:rPr>
          <w:szCs w:val="22"/>
        </w:rPr>
        <w:t xml:space="preserve"> </w:t>
      </w:r>
      <w:r w:rsidRPr="00964F73">
        <w:rPr>
          <w:szCs w:val="22"/>
        </w:rPr>
        <w:t xml:space="preserve"> No terms or conditions contained in this BAA shall be construed to make or render Microsoft an agent of Customer.</w:t>
      </w:r>
    </w:p>
    <w:p w14:paraId="791DBDB6" w14:textId="77777777" w:rsidR="000A545F" w:rsidRDefault="000A545F" w:rsidP="00034025">
      <w:pPr>
        <w:spacing w:after="120"/>
      </w:pPr>
    </w:p>
    <w:p w14:paraId="0DB41448" w14:textId="77777777" w:rsidR="00A46FF2" w:rsidRDefault="00A46FF2" w:rsidP="00034025">
      <w:pPr>
        <w:spacing w:after="120"/>
      </w:pPr>
    </w:p>
    <w:sectPr w:rsidR="00A46FF2" w:rsidSect="00A46FF2">
      <w:footerReference w:type="default" r:id="rId10"/>
      <w:headerReference w:type="first" r:id="rId11"/>
      <w:footerReference w:type="first" r:id="rId12"/>
      <w:pgSz w:w="12240" w:h="15840"/>
      <w:pgMar w:top="1440" w:right="1440" w:bottom="1440" w:left="1440" w:header="576"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F9DE66" w14:textId="77777777" w:rsidR="00B4221E" w:rsidRDefault="00B4221E" w:rsidP="000A545F">
      <w:pPr>
        <w:spacing w:before="0"/>
      </w:pPr>
      <w:r>
        <w:separator/>
      </w:r>
    </w:p>
  </w:endnote>
  <w:endnote w:type="continuationSeparator" w:id="0">
    <w:p w14:paraId="62FED112" w14:textId="77777777" w:rsidR="00B4221E" w:rsidRDefault="00B4221E" w:rsidP="000A545F">
      <w:pPr>
        <w:spacing w:before="0"/>
      </w:pPr>
      <w:r>
        <w:continuationSeparator/>
      </w:r>
    </w:p>
  </w:endnote>
  <w:endnote w:type="continuationNotice" w:id="1">
    <w:p w14:paraId="08BD0658" w14:textId="77777777" w:rsidR="00B4221E" w:rsidRDefault="00B4221E">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jc w:val="center"/>
      <w:tblLook w:val="04A0" w:firstRow="1" w:lastRow="0" w:firstColumn="1" w:lastColumn="0" w:noHBand="0" w:noVBand="1"/>
    </w:tblPr>
    <w:tblGrid>
      <w:gridCol w:w="4679"/>
      <w:gridCol w:w="4681"/>
    </w:tblGrid>
    <w:tr w:rsidR="00A46FF2" w:rsidRPr="00065DBC" w14:paraId="6DC3B42E" w14:textId="77777777" w:rsidTr="00A46FF2">
      <w:trPr>
        <w:jc w:val="center"/>
      </w:trPr>
      <w:tc>
        <w:tcPr>
          <w:tcW w:w="4621" w:type="dxa"/>
        </w:tcPr>
        <w:p w14:paraId="60B1B60C" w14:textId="79E8C229" w:rsidR="00A46FF2" w:rsidRPr="00065DBC" w:rsidRDefault="000A545F" w:rsidP="00A46FF2">
          <w:pPr>
            <w:pStyle w:val="Footer"/>
            <w:rPr>
              <w:rFonts w:cs="Arial"/>
              <w:sz w:val="16"/>
              <w:szCs w:val="16"/>
            </w:rPr>
          </w:pPr>
          <w:proofErr w:type="spellStart"/>
          <w:proofErr w:type="gramStart"/>
          <w:r>
            <w:rPr>
              <w:rFonts w:cs="Arial"/>
              <w:sz w:val="16"/>
              <w:szCs w:val="16"/>
            </w:rPr>
            <w:t>HIPAABusinessAssociateAgr</w:t>
          </w:r>
          <w:proofErr w:type="spellEnd"/>
          <w:r>
            <w:rPr>
              <w:rFonts w:cs="Arial"/>
              <w:sz w:val="16"/>
              <w:szCs w:val="16"/>
            </w:rPr>
            <w:t>(</w:t>
          </w:r>
          <w:proofErr w:type="gramEnd"/>
          <w:r>
            <w:rPr>
              <w:rFonts w:cs="Arial"/>
              <w:sz w:val="16"/>
              <w:szCs w:val="16"/>
            </w:rPr>
            <w:t>WW)(ENG)(</w:t>
          </w:r>
          <w:r w:rsidR="00C5169E">
            <w:rPr>
              <w:sz w:val="16"/>
              <w:szCs w:val="16"/>
            </w:rPr>
            <w:t>February</w:t>
          </w:r>
          <w:r w:rsidR="00F72FE4">
            <w:rPr>
              <w:sz w:val="16"/>
              <w:szCs w:val="16"/>
            </w:rPr>
            <w:t xml:space="preserve"> 2021</w:t>
          </w:r>
          <w:r w:rsidRPr="00565056">
            <w:rPr>
              <w:rFonts w:cs="Arial"/>
              <w:sz w:val="16"/>
              <w:szCs w:val="16"/>
            </w:rPr>
            <w:t>)</w:t>
          </w:r>
        </w:p>
      </w:tc>
      <w:tc>
        <w:tcPr>
          <w:tcW w:w="4622" w:type="dxa"/>
        </w:tcPr>
        <w:p w14:paraId="1CA1E22C" w14:textId="77777777" w:rsidR="00A46FF2" w:rsidRPr="00873CDA" w:rsidRDefault="000A545F" w:rsidP="00A46FF2">
          <w:pPr>
            <w:spacing w:before="0"/>
            <w:jc w:val="right"/>
            <w:rPr>
              <w:sz w:val="16"/>
              <w:szCs w:val="16"/>
            </w:rPr>
          </w:pPr>
          <w:r w:rsidRPr="00873CDA">
            <w:rPr>
              <w:sz w:val="16"/>
              <w:szCs w:val="16"/>
            </w:rPr>
            <w:t xml:space="preserve">Page </w:t>
          </w:r>
          <w:r w:rsidRPr="00873CDA">
            <w:rPr>
              <w:sz w:val="16"/>
              <w:szCs w:val="16"/>
            </w:rPr>
            <w:fldChar w:fldCharType="begin"/>
          </w:r>
          <w:r w:rsidRPr="00873CDA">
            <w:rPr>
              <w:sz w:val="16"/>
              <w:szCs w:val="16"/>
            </w:rPr>
            <w:instrText xml:space="preserve"> PAGE </w:instrText>
          </w:r>
          <w:r w:rsidRPr="00873CDA">
            <w:rPr>
              <w:sz w:val="16"/>
              <w:szCs w:val="16"/>
            </w:rPr>
            <w:fldChar w:fldCharType="separate"/>
          </w:r>
          <w:r>
            <w:rPr>
              <w:noProof/>
              <w:sz w:val="16"/>
              <w:szCs w:val="16"/>
            </w:rPr>
            <w:t>2</w:t>
          </w:r>
          <w:r w:rsidRPr="00873CDA">
            <w:rPr>
              <w:sz w:val="16"/>
              <w:szCs w:val="16"/>
            </w:rPr>
            <w:fldChar w:fldCharType="end"/>
          </w:r>
          <w:r w:rsidRPr="00873CDA">
            <w:rPr>
              <w:sz w:val="16"/>
              <w:szCs w:val="16"/>
            </w:rPr>
            <w:t xml:space="preserve"> of </w:t>
          </w:r>
          <w:r w:rsidRPr="00873CDA">
            <w:rPr>
              <w:sz w:val="16"/>
              <w:szCs w:val="16"/>
            </w:rPr>
            <w:fldChar w:fldCharType="begin"/>
          </w:r>
          <w:r w:rsidRPr="00873CDA">
            <w:rPr>
              <w:sz w:val="16"/>
              <w:szCs w:val="16"/>
            </w:rPr>
            <w:instrText xml:space="preserve"> NUMPAGES  </w:instrText>
          </w:r>
          <w:r w:rsidRPr="00873CDA">
            <w:rPr>
              <w:sz w:val="16"/>
              <w:szCs w:val="16"/>
            </w:rPr>
            <w:fldChar w:fldCharType="separate"/>
          </w:r>
          <w:r>
            <w:rPr>
              <w:noProof/>
              <w:sz w:val="16"/>
              <w:szCs w:val="16"/>
            </w:rPr>
            <w:t>6</w:t>
          </w:r>
          <w:r w:rsidRPr="00873CDA">
            <w:rPr>
              <w:sz w:val="16"/>
              <w:szCs w:val="16"/>
            </w:rPr>
            <w:fldChar w:fldCharType="end"/>
          </w:r>
        </w:p>
        <w:p w14:paraId="096E7679" w14:textId="77777777" w:rsidR="00A46FF2" w:rsidRPr="00065DBC" w:rsidRDefault="00A46FF2" w:rsidP="00A46FF2">
          <w:pPr>
            <w:pStyle w:val="Footer"/>
            <w:rPr>
              <w:rFonts w:cs="Arial"/>
              <w:sz w:val="16"/>
              <w:szCs w:val="16"/>
            </w:rPr>
          </w:pPr>
        </w:p>
      </w:tc>
    </w:tr>
  </w:tbl>
  <w:p w14:paraId="07E439B5" w14:textId="77777777" w:rsidR="00A46FF2" w:rsidRDefault="00A46F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BF33D5" w14:textId="77777777" w:rsidR="00A46FF2" w:rsidRDefault="000A545F" w:rsidP="00A46FF2">
    <w:pPr>
      <w:pStyle w:val="Footer"/>
      <w:tabs>
        <w:tab w:val="clear" w:pos="4680"/>
        <w:tab w:val="clear" w:pos="9360"/>
        <w:tab w:val="left" w:pos="2700"/>
      </w:tabs>
    </w:pPr>
    <w:r>
      <w:tab/>
    </w:r>
  </w:p>
  <w:tbl>
    <w:tblPr>
      <w:tblW w:w="9360" w:type="dxa"/>
      <w:jc w:val="center"/>
      <w:tblLook w:val="04A0" w:firstRow="1" w:lastRow="0" w:firstColumn="1" w:lastColumn="0" w:noHBand="0" w:noVBand="1"/>
    </w:tblPr>
    <w:tblGrid>
      <w:gridCol w:w="4679"/>
      <w:gridCol w:w="4681"/>
    </w:tblGrid>
    <w:tr w:rsidR="00A46FF2" w:rsidRPr="00873CDA" w14:paraId="5FD1D6A1" w14:textId="77777777" w:rsidTr="00A46FF2">
      <w:trPr>
        <w:jc w:val="center"/>
      </w:trPr>
      <w:tc>
        <w:tcPr>
          <w:tcW w:w="4621" w:type="dxa"/>
        </w:tcPr>
        <w:p w14:paraId="61343FA1" w14:textId="2460E68B" w:rsidR="00A46FF2" w:rsidRPr="00065DBC" w:rsidRDefault="000A545F" w:rsidP="00A46FF2">
          <w:pPr>
            <w:pStyle w:val="Footer"/>
            <w:rPr>
              <w:rFonts w:cs="Arial"/>
              <w:sz w:val="16"/>
              <w:szCs w:val="16"/>
            </w:rPr>
          </w:pPr>
          <w:proofErr w:type="spellStart"/>
          <w:proofErr w:type="gramStart"/>
          <w:r>
            <w:rPr>
              <w:rFonts w:cs="Arial"/>
              <w:sz w:val="16"/>
              <w:szCs w:val="16"/>
            </w:rPr>
            <w:t>HIPAABusinessAssociateAgr</w:t>
          </w:r>
          <w:proofErr w:type="spellEnd"/>
          <w:r>
            <w:rPr>
              <w:rFonts w:cs="Arial"/>
              <w:sz w:val="16"/>
              <w:szCs w:val="16"/>
            </w:rPr>
            <w:t>(</w:t>
          </w:r>
          <w:proofErr w:type="gramEnd"/>
          <w:r>
            <w:rPr>
              <w:rFonts w:cs="Arial"/>
              <w:sz w:val="16"/>
              <w:szCs w:val="16"/>
            </w:rPr>
            <w:t>WW)(ENG)(</w:t>
          </w:r>
          <w:r w:rsidR="00A72180">
            <w:rPr>
              <w:sz w:val="16"/>
              <w:szCs w:val="16"/>
            </w:rPr>
            <w:t>February</w:t>
          </w:r>
          <w:r>
            <w:rPr>
              <w:sz w:val="16"/>
              <w:szCs w:val="16"/>
            </w:rPr>
            <w:t xml:space="preserve"> 20</w:t>
          </w:r>
          <w:r w:rsidR="00A72180">
            <w:rPr>
              <w:sz w:val="16"/>
              <w:szCs w:val="16"/>
            </w:rPr>
            <w:t>21</w:t>
          </w:r>
          <w:r w:rsidRPr="00565056">
            <w:rPr>
              <w:rFonts w:cs="Arial"/>
              <w:sz w:val="16"/>
              <w:szCs w:val="16"/>
            </w:rPr>
            <w:t>)</w:t>
          </w:r>
        </w:p>
      </w:tc>
      <w:tc>
        <w:tcPr>
          <w:tcW w:w="4622" w:type="dxa"/>
        </w:tcPr>
        <w:p w14:paraId="2C79E7BE" w14:textId="77777777" w:rsidR="00A46FF2" w:rsidRPr="00873CDA" w:rsidRDefault="000A545F" w:rsidP="00A46FF2">
          <w:pPr>
            <w:spacing w:before="0"/>
            <w:jc w:val="right"/>
            <w:rPr>
              <w:sz w:val="16"/>
              <w:szCs w:val="16"/>
            </w:rPr>
          </w:pPr>
          <w:r w:rsidRPr="00873CDA">
            <w:rPr>
              <w:sz w:val="16"/>
              <w:szCs w:val="16"/>
            </w:rPr>
            <w:t xml:space="preserve">Page </w:t>
          </w:r>
          <w:r w:rsidRPr="00873CDA">
            <w:rPr>
              <w:sz w:val="16"/>
              <w:szCs w:val="16"/>
            </w:rPr>
            <w:fldChar w:fldCharType="begin"/>
          </w:r>
          <w:r w:rsidRPr="00873CDA">
            <w:rPr>
              <w:sz w:val="16"/>
              <w:szCs w:val="16"/>
            </w:rPr>
            <w:instrText xml:space="preserve"> PAGE </w:instrText>
          </w:r>
          <w:r w:rsidRPr="00873CDA">
            <w:rPr>
              <w:sz w:val="16"/>
              <w:szCs w:val="16"/>
            </w:rPr>
            <w:fldChar w:fldCharType="separate"/>
          </w:r>
          <w:r>
            <w:rPr>
              <w:noProof/>
              <w:sz w:val="16"/>
              <w:szCs w:val="16"/>
            </w:rPr>
            <w:t>1</w:t>
          </w:r>
          <w:r w:rsidRPr="00873CDA">
            <w:rPr>
              <w:sz w:val="16"/>
              <w:szCs w:val="16"/>
            </w:rPr>
            <w:fldChar w:fldCharType="end"/>
          </w:r>
          <w:r w:rsidRPr="00873CDA">
            <w:rPr>
              <w:sz w:val="16"/>
              <w:szCs w:val="16"/>
            </w:rPr>
            <w:t xml:space="preserve"> of </w:t>
          </w:r>
          <w:r w:rsidRPr="00873CDA">
            <w:rPr>
              <w:sz w:val="16"/>
              <w:szCs w:val="16"/>
            </w:rPr>
            <w:fldChar w:fldCharType="begin"/>
          </w:r>
          <w:r w:rsidRPr="00873CDA">
            <w:rPr>
              <w:sz w:val="16"/>
              <w:szCs w:val="16"/>
            </w:rPr>
            <w:instrText xml:space="preserve"> NUMPAGES  </w:instrText>
          </w:r>
          <w:r w:rsidRPr="00873CDA">
            <w:rPr>
              <w:sz w:val="16"/>
              <w:szCs w:val="16"/>
            </w:rPr>
            <w:fldChar w:fldCharType="separate"/>
          </w:r>
          <w:r>
            <w:rPr>
              <w:noProof/>
              <w:sz w:val="16"/>
              <w:szCs w:val="16"/>
            </w:rPr>
            <w:t>6</w:t>
          </w:r>
          <w:r w:rsidRPr="00873CDA">
            <w:rPr>
              <w:sz w:val="16"/>
              <w:szCs w:val="16"/>
            </w:rPr>
            <w:fldChar w:fldCharType="end"/>
          </w:r>
        </w:p>
        <w:p w14:paraId="5BBC3F36" w14:textId="77777777" w:rsidR="00A46FF2" w:rsidRPr="00065DBC" w:rsidRDefault="00A46FF2" w:rsidP="00A46FF2">
          <w:pPr>
            <w:pStyle w:val="Footer"/>
            <w:rPr>
              <w:rFonts w:cs="Arial"/>
              <w:sz w:val="16"/>
              <w:szCs w:val="16"/>
            </w:rPr>
          </w:pPr>
        </w:p>
      </w:tc>
    </w:tr>
  </w:tbl>
  <w:p w14:paraId="1023BA6E" w14:textId="77777777" w:rsidR="00A46FF2" w:rsidRDefault="00A46FF2" w:rsidP="00A46FF2">
    <w:pPr>
      <w:pStyle w:val="Footer"/>
      <w:tabs>
        <w:tab w:val="clear" w:pos="4680"/>
        <w:tab w:val="clear" w:pos="9360"/>
        <w:tab w:val="left" w:pos="27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1AA48B" w14:textId="77777777" w:rsidR="00B4221E" w:rsidRDefault="00B4221E" w:rsidP="000A545F">
      <w:pPr>
        <w:spacing w:before="0"/>
      </w:pPr>
      <w:r>
        <w:separator/>
      </w:r>
    </w:p>
  </w:footnote>
  <w:footnote w:type="continuationSeparator" w:id="0">
    <w:p w14:paraId="3006877D" w14:textId="77777777" w:rsidR="00B4221E" w:rsidRDefault="00B4221E" w:rsidP="000A545F">
      <w:pPr>
        <w:spacing w:before="0"/>
      </w:pPr>
      <w:r>
        <w:continuationSeparator/>
      </w:r>
    </w:p>
  </w:footnote>
  <w:footnote w:type="continuationNotice" w:id="1">
    <w:p w14:paraId="620330C1" w14:textId="77777777" w:rsidR="00B4221E" w:rsidRDefault="00B4221E">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696CC" w14:textId="255EDB08" w:rsidR="00A46FF2" w:rsidRDefault="00034025">
    <w:pPr>
      <w:pStyle w:val="Header"/>
    </w:pPr>
    <w:r>
      <w:rPr>
        <w:noProof/>
      </w:rPr>
      <w:drawing>
        <wp:inline distT="0" distB="0" distL="0" distR="0" wp14:anchorId="18C9CEA1" wp14:editId="726E4340">
          <wp:extent cx="1552167" cy="695325"/>
          <wp:effectExtent l="0" t="0" r="0" b="0"/>
          <wp:docPr id="3" name="Picture 3" descr="Microsoft logo in white and g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crosoft logo in white and gra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6959" cy="7243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94745"/>
    <w:multiLevelType w:val="hybridMultilevel"/>
    <w:tmpl w:val="3A7E8542"/>
    <w:lvl w:ilvl="0" w:tplc="D53CD89A">
      <w:start w:val="1"/>
      <w:numFmt w:val="lowerLetter"/>
      <w:lvlText w:val="%1."/>
      <w:lvlJc w:val="left"/>
      <w:pPr>
        <w:ind w:left="1080" w:hanging="360"/>
      </w:pPr>
      <w:rPr>
        <w:b/>
        <w:b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2FFA45C0"/>
    <w:multiLevelType w:val="multilevel"/>
    <w:tmpl w:val="B58A1774"/>
    <w:lvl w:ilvl="0">
      <w:start w:val="1"/>
      <w:numFmt w:val="decimal"/>
      <w:pStyle w:val="GVL-Amend-SS-Lvl-1-Title"/>
      <w:lvlText w:val="%1."/>
      <w:lvlJc w:val="left"/>
      <w:pPr>
        <w:tabs>
          <w:tab w:val="num" w:pos="720"/>
        </w:tabs>
        <w:ind w:left="720" w:hanging="720"/>
      </w:pPr>
      <w:rPr>
        <w:rFonts w:ascii="Arial" w:hAnsi="Arial" w:cs="Times New Roman" w:hint="default"/>
        <w:b/>
        <w:i/>
        <w:sz w:val="26"/>
      </w:rPr>
    </w:lvl>
    <w:lvl w:ilvl="1">
      <w:start w:val="1"/>
      <w:numFmt w:val="lowerLetter"/>
      <w:pStyle w:val="HVL-Amend-SS-Lvl-2"/>
      <w:lvlText w:val="%2."/>
      <w:lvlJc w:val="left"/>
      <w:pPr>
        <w:tabs>
          <w:tab w:val="num" w:pos="1080"/>
        </w:tabs>
        <w:ind w:left="1080" w:hanging="360"/>
      </w:pPr>
      <w:rPr>
        <w:rFonts w:ascii="Arial" w:hAnsi="Arial" w:cs="Times New Roman" w:hint="default"/>
        <w:b/>
        <w:i w:val="0"/>
        <w:sz w:val="20"/>
      </w:rPr>
    </w:lvl>
    <w:lvl w:ilvl="2">
      <w:start w:val="1"/>
      <w:numFmt w:val="lowerRoman"/>
      <w:pStyle w:val="IVL-Amend-SS-Lvl-3"/>
      <w:lvlText w:val="(%3)"/>
      <w:lvlJc w:val="left"/>
      <w:pPr>
        <w:tabs>
          <w:tab w:val="num" w:pos="1440"/>
        </w:tabs>
        <w:ind w:left="1440" w:hanging="360"/>
      </w:pPr>
      <w:rPr>
        <w:rFonts w:ascii="Arial" w:hAnsi="Arial" w:cs="Times New Roman" w:hint="default"/>
        <w:b/>
        <w:i w:val="0"/>
        <w:sz w:val="20"/>
      </w:rPr>
    </w:lvl>
    <w:lvl w:ilvl="3">
      <w:start w:val="1"/>
      <w:numFmt w:val="decimal"/>
      <w:pStyle w:val="JVL-Amend-SS-Lvl-4"/>
      <w:lvlText w:val="%4)"/>
      <w:lvlJc w:val="left"/>
      <w:pPr>
        <w:tabs>
          <w:tab w:val="num" w:pos="1800"/>
        </w:tabs>
        <w:ind w:left="1800" w:hanging="360"/>
      </w:pPr>
      <w:rPr>
        <w:rFonts w:ascii="Arial" w:hAnsi="Arial" w:cs="Times New Roman" w:hint="default"/>
        <w:b/>
        <w:i w:val="0"/>
        <w:sz w:val="20"/>
      </w:rPr>
    </w:lvl>
    <w:lvl w:ilvl="4">
      <w:start w:val="1"/>
      <w:numFmt w:val="upperLetter"/>
      <w:pStyle w:val="KVL-Amend-SS-Lvl-5"/>
      <w:lvlText w:val="%5."/>
      <w:lvlJc w:val="left"/>
      <w:pPr>
        <w:tabs>
          <w:tab w:val="num" w:pos="2160"/>
        </w:tabs>
        <w:ind w:left="216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E213A6F"/>
    <w:multiLevelType w:val="hybridMultilevel"/>
    <w:tmpl w:val="A1805B74"/>
    <w:lvl w:ilvl="0" w:tplc="7E0E629E">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50"/>
  <w:removePersonalInformation/>
  <w:removeDateAndTime/>
  <w:proofState w:spelling="clean" w:grammar="clean"/>
  <w:documentProtection w:edit="readOnly" w:formatting="1" w:enforcement="1" w:cryptProviderType="rsaAES" w:cryptAlgorithmClass="hash" w:cryptAlgorithmType="typeAny" w:cryptAlgorithmSid="14" w:cryptSpinCount="100000" w:hash="ulAvuFMt/SJnLT43v4/Lpc2gRJLLSxdIe5MSc+quAfhB05w/907Wh7VMtDjH5O010Xk3Yd3GhFcA7glaaHKSsw==" w:salt="5lUTgHEvitrIDwGSyIkA+Q=="/>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45F"/>
    <w:rsid w:val="00005E84"/>
    <w:rsid w:val="00007925"/>
    <w:rsid w:val="00025DE0"/>
    <w:rsid w:val="00034025"/>
    <w:rsid w:val="00034521"/>
    <w:rsid w:val="00047B00"/>
    <w:rsid w:val="00053363"/>
    <w:rsid w:val="00054F14"/>
    <w:rsid w:val="000726A1"/>
    <w:rsid w:val="000752BA"/>
    <w:rsid w:val="00086A27"/>
    <w:rsid w:val="0009009D"/>
    <w:rsid w:val="00091C0C"/>
    <w:rsid w:val="000A076C"/>
    <w:rsid w:val="000A4928"/>
    <w:rsid w:val="000A545F"/>
    <w:rsid w:val="000B246D"/>
    <w:rsid w:val="000B4DEB"/>
    <w:rsid w:val="000B6264"/>
    <w:rsid w:val="000C2D55"/>
    <w:rsid w:val="000E6073"/>
    <w:rsid w:val="000E62F6"/>
    <w:rsid w:val="000E7B21"/>
    <w:rsid w:val="00107AB4"/>
    <w:rsid w:val="00112013"/>
    <w:rsid w:val="00115621"/>
    <w:rsid w:val="00117249"/>
    <w:rsid w:val="001238FE"/>
    <w:rsid w:val="00125373"/>
    <w:rsid w:val="001348E8"/>
    <w:rsid w:val="00134E6A"/>
    <w:rsid w:val="001456B2"/>
    <w:rsid w:val="00147B81"/>
    <w:rsid w:val="001508BC"/>
    <w:rsid w:val="00160ECC"/>
    <w:rsid w:val="00162F57"/>
    <w:rsid w:val="001635F7"/>
    <w:rsid w:val="00170852"/>
    <w:rsid w:val="00173BA8"/>
    <w:rsid w:val="00173FE5"/>
    <w:rsid w:val="00175196"/>
    <w:rsid w:val="00184D28"/>
    <w:rsid w:val="001919CA"/>
    <w:rsid w:val="00192E73"/>
    <w:rsid w:val="001947EE"/>
    <w:rsid w:val="001A3088"/>
    <w:rsid w:val="001B167A"/>
    <w:rsid w:val="001B23FE"/>
    <w:rsid w:val="001C63BD"/>
    <w:rsid w:val="001D0161"/>
    <w:rsid w:val="001D03FF"/>
    <w:rsid w:val="001D142E"/>
    <w:rsid w:val="001D734A"/>
    <w:rsid w:val="001E789B"/>
    <w:rsid w:val="001F0086"/>
    <w:rsid w:val="001F131E"/>
    <w:rsid w:val="001F1407"/>
    <w:rsid w:val="001F49B5"/>
    <w:rsid w:val="001F6D39"/>
    <w:rsid w:val="00200786"/>
    <w:rsid w:val="00207835"/>
    <w:rsid w:val="00207D1C"/>
    <w:rsid w:val="0021501C"/>
    <w:rsid w:val="00216AA1"/>
    <w:rsid w:val="002203DB"/>
    <w:rsid w:val="00231FFD"/>
    <w:rsid w:val="00233DCA"/>
    <w:rsid w:val="0024108F"/>
    <w:rsid w:val="002456D0"/>
    <w:rsid w:val="002519F4"/>
    <w:rsid w:val="00262331"/>
    <w:rsid w:val="00275A70"/>
    <w:rsid w:val="0028108F"/>
    <w:rsid w:val="00281232"/>
    <w:rsid w:val="0029035E"/>
    <w:rsid w:val="00290E03"/>
    <w:rsid w:val="002A4CAC"/>
    <w:rsid w:val="002A6CC7"/>
    <w:rsid w:val="002B3BFB"/>
    <w:rsid w:val="002B70A8"/>
    <w:rsid w:val="002C2076"/>
    <w:rsid w:val="002D2021"/>
    <w:rsid w:val="002D665E"/>
    <w:rsid w:val="002F0D9A"/>
    <w:rsid w:val="002F221D"/>
    <w:rsid w:val="00301314"/>
    <w:rsid w:val="003045C2"/>
    <w:rsid w:val="003148D1"/>
    <w:rsid w:val="00315BE7"/>
    <w:rsid w:val="00320B49"/>
    <w:rsid w:val="00361B6E"/>
    <w:rsid w:val="00364967"/>
    <w:rsid w:val="00365DEC"/>
    <w:rsid w:val="00371521"/>
    <w:rsid w:val="00375DA2"/>
    <w:rsid w:val="00381AD9"/>
    <w:rsid w:val="00384FF5"/>
    <w:rsid w:val="0039207B"/>
    <w:rsid w:val="003A4BCA"/>
    <w:rsid w:val="003B1B2F"/>
    <w:rsid w:val="003B36E9"/>
    <w:rsid w:val="003B7335"/>
    <w:rsid w:val="003C79A5"/>
    <w:rsid w:val="003D04C1"/>
    <w:rsid w:val="003D0815"/>
    <w:rsid w:val="003E2C9D"/>
    <w:rsid w:val="003E2FFB"/>
    <w:rsid w:val="003E5916"/>
    <w:rsid w:val="003F1CEC"/>
    <w:rsid w:val="003F59DF"/>
    <w:rsid w:val="004116BD"/>
    <w:rsid w:val="00431B61"/>
    <w:rsid w:val="004428DD"/>
    <w:rsid w:val="00451B8B"/>
    <w:rsid w:val="00453B9D"/>
    <w:rsid w:val="004704AD"/>
    <w:rsid w:val="00481EF2"/>
    <w:rsid w:val="0048717C"/>
    <w:rsid w:val="00487C1B"/>
    <w:rsid w:val="00490390"/>
    <w:rsid w:val="00495CDD"/>
    <w:rsid w:val="004A3271"/>
    <w:rsid w:val="004B2139"/>
    <w:rsid w:val="004C5356"/>
    <w:rsid w:val="004C60F8"/>
    <w:rsid w:val="004E3734"/>
    <w:rsid w:val="004E3D89"/>
    <w:rsid w:val="004E6060"/>
    <w:rsid w:val="00515192"/>
    <w:rsid w:val="00516C60"/>
    <w:rsid w:val="00541DFE"/>
    <w:rsid w:val="00544C9B"/>
    <w:rsid w:val="00557E23"/>
    <w:rsid w:val="00565EE7"/>
    <w:rsid w:val="00571AC3"/>
    <w:rsid w:val="005734C0"/>
    <w:rsid w:val="00573507"/>
    <w:rsid w:val="00580761"/>
    <w:rsid w:val="0058099C"/>
    <w:rsid w:val="005810E1"/>
    <w:rsid w:val="0058561E"/>
    <w:rsid w:val="00595F2C"/>
    <w:rsid w:val="005A01C3"/>
    <w:rsid w:val="005A1AD0"/>
    <w:rsid w:val="005A4B9A"/>
    <w:rsid w:val="005B35BA"/>
    <w:rsid w:val="005C1C2E"/>
    <w:rsid w:val="005D2935"/>
    <w:rsid w:val="005D3BF3"/>
    <w:rsid w:val="005F7CC7"/>
    <w:rsid w:val="0060066D"/>
    <w:rsid w:val="00601D8A"/>
    <w:rsid w:val="006038A8"/>
    <w:rsid w:val="006055D9"/>
    <w:rsid w:val="00606960"/>
    <w:rsid w:val="00614ADB"/>
    <w:rsid w:val="00630644"/>
    <w:rsid w:val="00633802"/>
    <w:rsid w:val="0064194E"/>
    <w:rsid w:val="006474F2"/>
    <w:rsid w:val="00647674"/>
    <w:rsid w:val="00655D7B"/>
    <w:rsid w:val="00655E37"/>
    <w:rsid w:val="0066216D"/>
    <w:rsid w:val="00665073"/>
    <w:rsid w:val="006706AE"/>
    <w:rsid w:val="00671A7E"/>
    <w:rsid w:val="00677E55"/>
    <w:rsid w:val="00695D79"/>
    <w:rsid w:val="006C0B10"/>
    <w:rsid w:val="006C63AB"/>
    <w:rsid w:val="006D1105"/>
    <w:rsid w:val="006D228C"/>
    <w:rsid w:val="006E1476"/>
    <w:rsid w:val="006F5D64"/>
    <w:rsid w:val="00712D36"/>
    <w:rsid w:val="00716A41"/>
    <w:rsid w:val="00717ADF"/>
    <w:rsid w:val="0073014A"/>
    <w:rsid w:val="00732B69"/>
    <w:rsid w:val="0074265A"/>
    <w:rsid w:val="00743C80"/>
    <w:rsid w:val="00754C09"/>
    <w:rsid w:val="00754DD4"/>
    <w:rsid w:val="00761218"/>
    <w:rsid w:val="007646DF"/>
    <w:rsid w:val="007723A5"/>
    <w:rsid w:val="00774BD4"/>
    <w:rsid w:val="0078090D"/>
    <w:rsid w:val="007813E3"/>
    <w:rsid w:val="0078336A"/>
    <w:rsid w:val="00797EC9"/>
    <w:rsid w:val="007A0280"/>
    <w:rsid w:val="007A23E8"/>
    <w:rsid w:val="007A74F3"/>
    <w:rsid w:val="007A7EAC"/>
    <w:rsid w:val="007C51FC"/>
    <w:rsid w:val="007D28E2"/>
    <w:rsid w:val="007D703A"/>
    <w:rsid w:val="007E24EA"/>
    <w:rsid w:val="007E4F98"/>
    <w:rsid w:val="007F0934"/>
    <w:rsid w:val="007F4AC9"/>
    <w:rsid w:val="007F63A5"/>
    <w:rsid w:val="007F70EA"/>
    <w:rsid w:val="007F7E0B"/>
    <w:rsid w:val="00804C37"/>
    <w:rsid w:val="00804EFC"/>
    <w:rsid w:val="00812465"/>
    <w:rsid w:val="008156EF"/>
    <w:rsid w:val="008222DF"/>
    <w:rsid w:val="00825288"/>
    <w:rsid w:val="00832C50"/>
    <w:rsid w:val="008413FD"/>
    <w:rsid w:val="008A0286"/>
    <w:rsid w:val="008A4734"/>
    <w:rsid w:val="008C0FEA"/>
    <w:rsid w:val="008C36AD"/>
    <w:rsid w:val="008C3C67"/>
    <w:rsid w:val="008D3156"/>
    <w:rsid w:val="008D3236"/>
    <w:rsid w:val="008E43C6"/>
    <w:rsid w:val="008E7DC4"/>
    <w:rsid w:val="008F5D30"/>
    <w:rsid w:val="008F7452"/>
    <w:rsid w:val="008F776C"/>
    <w:rsid w:val="00901A82"/>
    <w:rsid w:val="00906055"/>
    <w:rsid w:val="0091178B"/>
    <w:rsid w:val="00930E82"/>
    <w:rsid w:val="00942E0D"/>
    <w:rsid w:val="0094378E"/>
    <w:rsid w:val="00952725"/>
    <w:rsid w:val="00954A94"/>
    <w:rsid w:val="00954E6E"/>
    <w:rsid w:val="009746FD"/>
    <w:rsid w:val="0098270A"/>
    <w:rsid w:val="0098649C"/>
    <w:rsid w:val="009B1926"/>
    <w:rsid w:val="009B22A1"/>
    <w:rsid w:val="009B2347"/>
    <w:rsid w:val="009C1BF9"/>
    <w:rsid w:val="009C1FB0"/>
    <w:rsid w:val="009D3D3E"/>
    <w:rsid w:val="009E0B8C"/>
    <w:rsid w:val="009E41C2"/>
    <w:rsid w:val="009F1820"/>
    <w:rsid w:val="009F4000"/>
    <w:rsid w:val="00A05767"/>
    <w:rsid w:val="00A10109"/>
    <w:rsid w:val="00A1396E"/>
    <w:rsid w:val="00A14152"/>
    <w:rsid w:val="00A14F23"/>
    <w:rsid w:val="00A213A9"/>
    <w:rsid w:val="00A23FC3"/>
    <w:rsid w:val="00A31BBF"/>
    <w:rsid w:val="00A31C92"/>
    <w:rsid w:val="00A33F56"/>
    <w:rsid w:val="00A43106"/>
    <w:rsid w:val="00A43B3F"/>
    <w:rsid w:val="00A46FF2"/>
    <w:rsid w:val="00A54785"/>
    <w:rsid w:val="00A63088"/>
    <w:rsid w:val="00A6404C"/>
    <w:rsid w:val="00A64E6C"/>
    <w:rsid w:val="00A7060E"/>
    <w:rsid w:val="00A72180"/>
    <w:rsid w:val="00A76F6E"/>
    <w:rsid w:val="00A81E03"/>
    <w:rsid w:val="00A85DA8"/>
    <w:rsid w:val="00A9672F"/>
    <w:rsid w:val="00A9767C"/>
    <w:rsid w:val="00AA5C8E"/>
    <w:rsid w:val="00AA69B2"/>
    <w:rsid w:val="00AB6479"/>
    <w:rsid w:val="00AC0881"/>
    <w:rsid w:val="00AC12B0"/>
    <w:rsid w:val="00AF331F"/>
    <w:rsid w:val="00AF5CBB"/>
    <w:rsid w:val="00AF600B"/>
    <w:rsid w:val="00AF793C"/>
    <w:rsid w:val="00B0080C"/>
    <w:rsid w:val="00B045C4"/>
    <w:rsid w:val="00B055A5"/>
    <w:rsid w:val="00B2440D"/>
    <w:rsid w:val="00B31A6F"/>
    <w:rsid w:val="00B34137"/>
    <w:rsid w:val="00B4221E"/>
    <w:rsid w:val="00B444C5"/>
    <w:rsid w:val="00B46628"/>
    <w:rsid w:val="00B46875"/>
    <w:rsid w:val="00B55391"/>
    <w:rsid w:val="00B5585D"/>
    <w:rsid w:val="00B55B06"/>
    <w:rsid w:val="00B600A6"/>
    <w:rsid w:val="00B61A9F"/>
    <w:rsid w:val="00B65339"/>
    <w:rsid w:val="00B8270C"/>
    <w:rsid w:val="00B8379C"/>
    <w:rsid w:val="00BB1232"/>
    <w:rsid w:val="00BB2024"/>
    <w:rsid w:val="00BB2A1A"/>
    <w:rsid w:val="00BB60CE"/>
    <w:rsid w:val="00BB6DCE"/>
    <w:rsid w:val="00BB7C26"/>
    <w:rsid w:val="00BC0A1A"/>
    <w:rsid w:val="00BD30A3"/>
    <w:rsid w:val="00BD61D7"/>
    <w:rsid w:val="00BE136E"/>
    <w:rsid w:val="00BE23C0"/>
    <w:rsid w:val="00BE3189"/>
    <w:rsid w:val="00BE360A"/>
    <w:rsid w:val="00BE38AE"/>
    <w:rsid w:val="00BE7DD3"/>
    <w:rsid w:val="00BF2748"/>
    <w:rsid w:val="00C058EF"/>
    <w:rsid w:val="00C06E63"/>
    <w:rsid w:val="00C20B13"/>
    <w:rsid w:val="00C329EB"/>
    <w:rsid w:val="00C342D6"/>
    <w:rsid w:val="00C50254"/>
    <w:rsid w:val="00C50769"/>
    <w:rsid w:val="00C5169E"/>
    <w:rsid w:val="00C75791"/>
    <w:rsid w:val="00C77461"/>
    <w:rsid w:val="00C9048D"/>
    <w:rsid w:val="00C92E4C"/>
    <w:rsid w:val="00CA29B6"/>
    <w:rsid w:val="00CA3B9D"/>
    <w:rsid w:val="00CA57D9"/>
    <w:rsid w:val="00CB4597"/>
    <w:rsid w:val="00CB4CAA"/>
    <w:rsid w:val="00CD74B1"/>
    <w:rsid w:val="00CF3689"/>
    <w:rsid w:val="00CF72F0"/>
    <w:rsid w:val="00D01310"/>
    <w:rsid w:val="00D05F6B"/>
    <w:rsid w:val="00D17F92"/>
    <w:rsid w:val="00D3237B"/>
    <w:rsid w:val="00D35379"/>
    <w:rsid w:val="00D41DE3"/>
    <w:rsid w:val="00D5083E"/>
    <w:rsid w:val="00D515CD"/>
    <w:rsid w:val="00D621A6"/>
    <w:rsid w:val="00D64A88"/>
    <w:rsid w:val="00D65B95"/>
    <w:rsid w:val="00D72670"/>
    <w:rsid w:val="00D7751F"/>
    <w:rsid w:val="00D85D93"/>
    <w:rsid w:val="00D9098A"/>
    <w:rsid w:val="00DA1D82"/>
    <w:rsid w:val="00DA4A1C"/>
    <w:rsid w:val="00DB3A05"/>
    <w:rsid w:val="00DB79ED"/>
    <w:rsid w:val="00DC4AF7"/>
    <w:rsid w:val="00DD24DE"/>
    <w:rsid w:val="00DF30BB"/>
    <w:rsid w:val="00E10CCD"/>
    <w:rsid w:val="00E144C0"/>
    <w:rsid w:val="00E162F1"/>
    <w:rsid w:val="00E225F2"/>
    <w:rsid w:val="00E26F56"/>
    <w:rsid w:val="00E46185"/>
    <w:rsid w:val="00E61CA1"/>
    <w:rsid w:val="00E81FA3"/>
    <w:rsid w:val="00E823F8"/>
    <w:rsid w:val="00E830BE"/>
    <w:rsid w:val="00E84597"/>
    <w:rsid w:val="00E84F8C"/>
    <w:rsid w:val="00E85070"/>
    <w:rsid w:val="00E958A5"/>
    <w:rsid w:val="00EA18B1"/>
    <w:rsid w:val="00EA2693"/>
    <w:rsid w:val="00EA4836"/>
    <w:rsid w:val="00EA4EA0"/>
    <w:rsid w:val="00EA5805"/>
    <w:rsid w:val="00EA7441"/>
    <w:rsid w:val="00EB092B"/>
    <w:rsid w:val="00EB73E9"/>
    <w:rsid w:val="00EC5887"/>
    <w:rsid w:val="00ED12DD"/>
    <w:rsid w:val="00ED413B"/>
    <w:rsid w:val="00EE000F"/>
    <w:rsid w:val="00EF140D"/>
    <w:rsid w:val="00F04C6F"/>
    <w:rsid w:val="00F04E64"/>
    <w:rsid w:val="00F10EE0"/>
    <w:rsid w:val="00F1172D"/>
    <w:rsid w:val="00F14B9E"/>
    <w:rsid w:val="00F228FD"/>
    <w:rsid w:val="00F446D5"/>
    <w:rsid w:val="00F5604C"/>
    <w:rsid w:val="00F60E77"/>
    <w:rsid w:val="00F627EA"/>
    <w:rsid w:val="00F70F6B"/>
    <w:rsid w:val="00F72FE4"/>
    <w:rsid w:val="00F7329B"/>
    <w:rsid w:val="00F74365"/>
    <w:rsid w:val="00F91DA1"/>
    <w:rsid w:val="00F96380"/>
    <w:rsid w:val="00F976CC"/>
    <w:rsid w:val="00FA3008"/>
    <w:rsid w:val="00FA5851"/>
    <w:rsid w:val="00FC7945"/>
    <w:rsid w:val="00FD3808"/>
    <w:rsid w:val="00FD7A19"/>
    <w:rsid w:val="00FE2A46"/>
    <w:rsid w:val="012CC59A"/>
    <w:rsid w:val="06A8D3AC"/>
    <w:rsid w:val="09DE3443"/>
    <w:rsid w:val="0F4AA875"/>
    <w:rsid w:val="0FBE397B"/>
    <w:rsid w:val="132006D1"/>
    <w:rsid w:val="15705BC5"/>
    <w:rsid w:val="16407BED"/>
    <w:rsid w:val="1B3188DA"/>
    <w:rsid w:val="1D4F4738"/>
    <w:rsid w:val="1F943B5A"/>
    <w:rsid w:val="209D1874"/>
    <w:rsid w:val="21954552"/>
    <w:rsid w:val="2863E692"/>
    <w:rsid w:val="3ADAD9C6"/>
    <w:rsid w:val="3C8E6DCE"/>
    <w:rsid w:val="3D4AE49A"/>
    <w:rsid w:val="40D89677"/>
    <w:rsid w:val="43EC8655"/>
    <w:rsid w:val="4CF55717"/>
    <w:rsid w:val="4EC0C1EE"/>
    <w:rsid w:val="5196E872"/>
    <w:rsid w:val="5C547ABE"/>
    <w:rsid w:val="5ED6BBC0"/>
    <w:rsid w:val="650886FC"/>
    <w:rsid w:val="66535EBB"/>
    <w:rsid w:val="777FF740"/>
    <w:rsid w:val="79A4D63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FDEC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45F"/>
    <w:pPr>
      <w:spacing w:before="120" w:after="0" w:line="240" w:lineRule="auto"/>
      <w:jc w:val="both"/>
    </w:pPr>
    <w:rPr>
      <w:rFonts w:ascii="Arial" w:eastAsia="Times New Roman" w:hAnsi="Arial" w:cs="Times New Roman"/>
      <w:color w:val="000000"/>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A545F"/>
    <w:rPr>
      <w:color w:val="0000FF"/>
      <w:u w:val="single"/>
    </w:rPr>
  </w:style>
  <w:style w:type="character" w:customStyle="1" w:styleId="JVL-Amend-SS-Lvl-4Char">
    <w:name w:val="J.  VL-Amend-SS-Lvl-4 Char"/>
    <w:basedOn w:val="DefaultParagraphFont"/>
    <w:link w:val="JVL-Amend-SS-Lvl-4"/>
    <w:locked/>
    <w:rsid w:val="000A545F"/>
    <w:rPr>
      <w:rFonts w:ascii="Arial" w:hAnsi="Arial" w:cs="Arial"/>
      <w:color w:val="000000"/>
      <w:szCs w:val="24"/>
    </w:rPr>
  </w:style>
  <w:style w:type="paragraph" w:customStyle="1" w:styleId="JVL-Amend-SS-Lvl-4">
    <w:name w:val="J.  VL-Amend-SS-Lvl-4"/>
    <w:basedOn w:val="Normal"/>
    <w:link w:val="JVL-Amend-SS-Lvl-4Char"/>
    <w:qFormat/>
    <w:rsid w:val="000A545F"/>
    <w:pPr>
      <w:numPr>
        <w:ilvl w:val="3"/>
        <w:numId w:val="1"/>
      </w:numPr>
    </w:pPr>
    <w:rPr>
      <w:rFonts w:eastAsiaTheme="minorHAnsi" w:cs="Arial"/>
      <w:sz w:val="22"/>
    </w:rPr>
  </w:style>
  <w:style w:type="character" w:customStyle="1" w:styleId="FVL-Amend-BodyChar">
    <w:name w:val="F.  VL-Amend-Body Char"/>
    <w:basedOn w:val="DefaultParagraphFont"/>
    <w:link w:val="FVL-Amend-Body"/>
    <w:locked/>
    <w:rsid w:val="000A545F"/>
    <w:rPr>
      <w:rFonts w:ascii="Arial" w:eastAsia="MS Mincho" w:hAnsi="Arial" w:cs="Arial"/>
      <w:color w:val="000000"/>
      <w:szCs w:val="24"/>
    </w:rPr>
  </w:style>
  <w:style w:type="paragraph" w:customStyle="1" w:styleId="FVL-Amend-Body">
    <w:name w:val="F.  VL-Amend-Body"/>
    <w:basedOn w:val="Normal"/>
    <w:link w:val="FVL-Amend-BodyChar"/>
    <w:qFormat/>
    <w:rsid w:val="000A545F"/>
    <w:rPr>
      <w:rFonts w:eastAsia="MS Mincho" w:cs="Arial"/>
      <w:sz w:val="22"/>
    </w:rPr>
  </w:style>
  <w:style w:type="character" w:customStyle="1" w:styleId="GVL-Amend-SS-Lvl-1-TitleChar">
    <w:name w:val="G.  VL-Amend-SS-Lvl-1-Title Char"/>
    <w:basedOn w:val="DefaultParagraphFont"/>
    <w:link w:val="GVL-Amend-SS-Lvl-1-Title"/>
    <w:locked/>
    <w:rsid w:val="000A545F"/>
    <w:rPr>
      <w:rFonts w:ascii="Arial" w:eastAsia="MS Mincho" w:hAnsi="Arial" w:cs="Arial"/>
      <w:b/>
      <w:i/>
      <w:sz w:val="26"/>
      <w:szCs w:val="26"/>
    </w:rPr>
  </w:style>
  <w:style w:type="paragraph" w:customStyle="1" w:styleId="GVL-Amend-SS-Lvl-1-Title">
    <w:name w:val="G.  VL-Amend-SS-Lvl-1-Title"/>
    <w:link w:val="GVL-Amend-SS-Lvl-1-TitleChar"/>
    <w:qFormat/>
    <w:rsid w:val="000A545F"/>
    <w:pPr>
      <w:numPr>
        <w:numId w:val="1"/>
      </w:numPr>
      <w:spacing w:before="360" w:after="0" w:line="240" w:lineRule="auto"/>
      <w:outlineLvl w:val="0"/>
    </w:pPr>
    <w:rPr>
      <w:rFonts w:ascii="Arial" w:eastAsia="MS Mincho" w:hAnsi="Arial" w:cs="Arial"/>
      <w:b/>
      <w:i/>
      <w:sz w:val="26"/>
      <w:szCs w:val="26"/>
    </w:rPr>
  </w:style>
  <w:style w:type="character" w:customStyle="1" w:styleId="HVL-Amend-SS-Lvl-2Char">
    <w:name w:val="H.  VL-Amend-SS-Lvl-2 Char"/>
    <w:basedOn w:val="DefaultParagraphFont"/>
    <w:link w:val="HVL-Amend-SS-Lvl-2"/>
    <w:locked/>
    <w:rsid w:val="000A545F"/>
    <w:rPr>
      <w:rFonts w:ascii="Arial" w:eastAsia="MS Mincho" w:hAnsi="Arial" w:cs="Arial"/>
      <w:color w:val="000000"/>
      <w:szCs w:val="24"/>
    </w:rPr>
  </w:style>
  <w:style w:type="paragraph" w:customStyle="1" w:styleId="HVL-Amend-SS-Lvl-2">
    <w:name w:val="H.  VL-Amend-SS-Lvl-2"/>
    <w:basedOn w:val="Normal"/>
    <w:link w:val="HVL-Amend-SS-Lvl-2Char"/>
    <w:qFormat/>
    <w:rsid w:val="000A545F"/>
    <w:pPr>
      <w:numPr>
        <w:ilvl w:val="1"/>
        <w:numId w:val="1"/>
      </w:numPr>
      <w:adjustRightInd w:val="0"/>
      <w:outlineLvl w:val="1"/>
    </w:pPr>
    <w:rPr>
      <w:rFonts w:eastAsia="MS Mincho" w:cs="Arial"/>
      <w:sz w:val="22"/>
    </w:rPr>
  </w:style>
  <w:style w:type="character" w:customStyle="1" w:styleId="IVL-Amend-SS-Lvl-3Char">
    <w:name w:val="I.  VL-Amend-SS-Lvl-3 Char"/>
    <w:basedOn w:val="DefaultParagraphFont"/>
    <w:link w:val="IVL-Amend-SS-Lvl-3"/>
    <w:locked/>
    <w:rsid w:val="000A545F"/>
    <w:rPr>
      <w:rFonts w:ascii="Arial" w:eastAsia="MS Mincho" w:hAnsi="Arial" w:cs="Arial"/>
      <w:color w:val="000000"/>
      <w:szCs w:val="24"/>
    </w:rPr>
  </w:style>
  <w:style w:type="paragraph" w:customStyle="1" w:styleId="IVL-Amend-SS-Lvl-3">
    <w:name w:val="I.  VL-Amend-SS-Lvl-3"/>
    <w:basedOn w:val="Normal"/>
    <w:link w:val="IVL-Amend-SS-Lvl-3Char"/>
    <w:qFormat/>
    <w:rsid w:val="000A545F"/>
    <w:pPr>
      <w:numPr>
        <w:ilvl w:val="2"/>
        <w:numId w:val="1"/>
      </w:numPr>
      <w:adjustRightInd w:val="0"/>
      <w:outlineLvl w:val="2"/>
    </w:pPr>
    <w:rPr>
      <w:rFonts w:eastAsia="MS Mincho" w:cs="Arial"/>
      <w:sz w:val="22"/>
    </w:rPr>
  </w:style>
  <w:style w:type="character" w:customStyle="1" w:styleId="I1VL-Amend-SS-Lvl-3-BodyChar">
    <w:name w:val="I.1  VL-Amend-SS-Lvl-3-Body Char"/>
    <w:basedOn w:val="DefaultParagraphFont"/>
    <w:link w:val="I1VL-Amend-SS-Lvl-3-Body"/>
    <w:locked/>
    <w:rsid w:val="000A545F"/>
    <w:rPr>
      <w:rFonts w:ascii="Arial" w:hAnsi="Arial" w:cs="Arial"/>
      <w:color w:val="000000"/>
      <w:szCs w:val="24"/>
    </w:rPr>
  </w:style>
  <w:style w:type="paragraph" w:customStyle="1" w:styleId="I1VL-Amend-SS-Lvl-3-Body">
    <w:name w:val="I.1  VL-Amend-SS-Lvl-3-Body"/>
    <w:basedOn w:val="Normal"/>
    <w:link w:val="I1VL-Amend-SS-Lvl-3-BodyChar"/>
    <w:qFormat/>
    <w:rsid w:val="000A545F"/>
    <w:pPr>
      <w:spacing w:after="240"/>
      <w:ind w:left="1440"/>
    </w:pPr>
    <w:rPr>
      <w:rFonts w:eastAsiaTheme="minorHAnsi" w:cs="Arial"/>
      <w:sz w:val="22"/>
    </w:rPr>
  </w:style>
  <w:style w:type="paragraph" w:customStyle="1" w:styleId="KVL-Amend-SS-Lvl-5">
    <w:name w:val="K.  VL-Amend-SS-Lvl-5"/>
    <w:basedOn w:val="JVL-Amend-SS-Lvl-4"/>
    <w:qFormat/>
    <w:rsid w:val="000A545F"/>
    <w:pPr>
      <w:numPr>
        <w:ilvl w:val="4"/>
      </w:numPr>
      <w:tabs>
        <w:tab w:val="clear" w:pos="2160"/>
        <w:tab w:val="num" w:pos="360"/>
      </w:tabs>
    </w:pPr>
  </w:style>
  <w:style w:type="paragraph" w:styleId="Header">
    <w:name w:val="header"/>
    <w:basedOn w:val="Normal"/>
    <w:link w:val="HeaderChar"/>
    <w:uiPriority w:val="99"/>
    <w:unhideWhenUsed/>
    <w:rsid w:val="000A545F"/>
    <w:pPr>
      <w:tabs>
        <w:tab w:val="center" w:pos="4680"/>
        <w:tab w:val="right" w:pos="9360"/>
      </w:tabs>
      <w:spacing w:before="0"/>
    </w:pPr>
  </w:style>
  <w:style w:type="character" w:customStyle="1" w:styleId="HeaderChar">
    <w:name w:val="Header Char"/>
    <w:basedOn w:val="DefaultParagraphFont"/>
    <w:link w:val="Header"/>
    <w:uiPriority w:val="99"/>
    <w:rsid w:val="000A545F"/>
    <w:rPr>
      <w:rFonts w:ascii="Arial" w:eastAsia="Times New Roman" w:hAnsi="Arial" w:cs="Times New Roman"/>
      <w:color w:val="000000"/>
      <w:sz w:val="20"/>
      <w:szCs w:val="24"/>
    </w:rPr>
  </w:style>
  <w:style w:type="paragraph" w:styleId="Footer">
    <w:name w:val="footer"/>
    <w:basedOn w:val="Normal"/>
    <w:link w:val="FooterChar"/>
    <w:unhideWhenUsed/>
    <w:rsid w:val="000A545F"/>
    <w:pPr>
      <w:tabs>
        <w:tab w:val="center" w:pos="4680"/>
        <w:tab w:val="right" w:pos="9360"/>
      </w:tabs>
      <w:spacing w:before="0"/>
    </w:pPr>
  </w:style>
  <w:style w:type="character" w:customStyle="1" w:styleId="FooterChar">
    <w:name w:val="Footer Char"/>
    <w:basedOn w:val="DefaultParagraphFont"/>
    <w:link w:val="Footer"/>
    <w:rsid w:val="000A545F"/>
    <w:rPr>
      <w:rFonts w:ascii="Arial" w:eastAsia="Times New Roman" w:hAnsi="Arial" w:cs="Times New Roman"/>
      <w:color w:val="000000"/>
      <w:sz w:val="20"/>
      <w:szCs w:val="24"/>
    </w:rPr>
  </w:style>
  <w:style w:type="paragraph" w:styleId="BalloonText">
    <w:name w:val="Balloon Text"/>
    <w:basedOn w:val="Normal"/>
    <w:link w:val="BalloonTextChar"/>
    <w:uiPriority w:val="99"/>
    <w:semiHidden/>
    <w:unhideWhenUsed/>
    <w:rsid w:val="00275A70"/>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5A70"/>
    <w:rPr>
      <w:rFonts w:ascii="Segoe UI" w:eastAsia="Times New Roman" w:hAnsi="Segoe UI" w:cs="Segoe UI"/>
      <w:color w:val="000000"/>
      <w:sz w:val="18"/>
      <w:szCs w:val="18"/>
    </w:rPr>
  </w:style>
  <w:style w:type="character" w:styleId="CommentReference">
    <w:name w:val="annotation reference"/>
    <w:basedOn w:val="DefaultParagraphFont"/>
    <w:uiPriority w:val="99"/>
    <w:semiHidden/>
    <w:unhideWhenUsed/>
    <w:rsid w:val="00DB79ED"/>
    <w:rPr>
      <w:sz w:val="16"/>
      <w:szCs w:val="16"/>
    </w:rPr>
  </w:style>
  <w:style w:type="paragraph" w:styleId="CommentText">
    <w:name w:val="annotation text"/>
    <w:basedOn w:val="Normal"/>
    <w:link w:val="CommentTextChar"/>
    <w:uiPriority w:val="99"/>
    <w:unhideWhenUsed/>
    <w:rsid w:val="00DB79ED"/>
    <w:rPr>
      <w:szCs w:val="20"/>
    </w:rPr>
  </w:style>
  <w:style w:type="character" w:customStyle="1" w:styleId="CommentTextChar">
    <w:name w:val="Comment Text Char"/>
    <w:basedOn w:val="DefaultParagraphFont"/>
    <w:link w:val="CommentText"/>
    <w:uiPriority w:val="99"/>
    <w:rsid w:val="00DB79ED"/>
    <w:rPr>
      <w:rFonts w:ascii="Arial" w:eastAsia="Times New Roman" w:hAnsi="Arial"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DB79ED"/>
    <w:rPr>
      <w:b/>
      <w:bCs/>
    </w:rPr>
  </w:style>
  <w:style w:type="character" w:customStyle="1" w:styleId="CommentSubjectChar">
    <w:name w:val="Comment Subject Char"/>
    <w:basedOn w:val="CommentTextChar"/>
    <w:link w:val="CommentSubject"/>
    <w:uiPriority w:val="99"/>
    <w:semiHidden/>
    <w:rsid w:val="00DB79ED"/>
    <w:rPr>
      <w:rFonts w:ascii="Arial" w:eastAsia="Times New Roman" w:hAnsi="Arial" w:cs="Times New Roman"/>
      <w:b/>
      <w:bCs/>
      <w:color w:val="000000"/>
      <w:sz w:val="20"/>
      <w:szCs w:val="20"/>
    </w:rPr>
  </w:style>
  <w:style w:type="character" w:styleId="UnresolvedMention">
    <w:name w:val="Unresolved Mention"/>
    <w:basedOn w:val="DefaultParagraphFont"/>
    <w:uiPriority w:val="99"/>
    <w:unhideWhenUsed/>
    <w:rsid w:val="00F04C6F"/>
    <w:rPr>
      <w:color w:val="605E5C"/>
      <w:shd w:val="clear" w:color="auto" w:fill="E1DFDD"/>
    </w:rPr>
  </w:style>
  <w:style w:type="character" w:styleId="Mention">
    <w:name w:val="Mention"/>
    <w:basedOn w:val="DefaultParagraphFont"/>
    <w:uiPriority w:val="99"/>
    <w:unhideWhenUsed/>
    <w:rsid w:val="00F04C6F"/>
    <w:rPr>
      <w:color w:val="2B579A"/>
      <w:shd w:val="clear" w:color="auto" w:fill="E1DFDD"/>
    </w:rPr>
  </w:style>
  <w:style w:type="paragraph" w:styleId="ListParagraph">
    <w:name w:val="List Paragraph"/>
    <w:basedOn w:val="Normal"/>
    <w:uiPriority w:val="34"/>
    <w:qFormat/>
    <w:rsid w:val="0078090D"/>
    <w:pPr>
      <w:ind w:left="720"/>
      <w:contextualSpacing/>
    </w:pPr>
  </w:style>
  <w:style w:type="paragraph" w:customStyle="1" w:styleId="ProductList-Body">
    <w:name w:val="Product List - Body"/>
    <w:basedOn w:val="Normal"/>
    <w:link w:val="ProductList-BodyChar"/>
    <w:qFormat/>
    <w:rsid w:val="00D621A6"/>
    <w:pPr>
      <w:tabs>
        <w:tab w:val="left" w:pos="158"/>
      </w:tabs>
      <w:spacing w:before="0"/>
      <w:jc w:val="left"/>
    </w:pPr>
    <w:rPr>
      <w:rFonts w:asciiTheme="minorHAnsi" w:eastAsiaTheme="minorHAnsi" w:hAnsiTheme="minorHAnsi" w:cstheme="minorBidi"/>
      <w:color w:val="auto"/>
      <w:sz w:val="18"/>
      <w:szCs w:val="22"/>
    </w:rPr>
  </w:style>
  <w:style w:type="character" w:customStyle="1" w:styleId="ProductList-BodyChar">
    <w:name w:val="Product List - Body Char"/>
    <w:basedOn w:val="DefaultParagraphFont"/>
    <w:link w:val="ProductList-Body"/>
    <w:rsid w:val="00D621A6"/>
    <w:rPr>
      <w:sz w:val="18"/>
    </w:rPr>
  </w:style>
  <w:style w:type="character" w:styleId="FollowedHyperlink">
    <w:name w:val="FollowedHyperlink"/>
    <w:basedOn w:val="DefaultParagraphFont"/>
    <w:uiPriority w:val="99"/>
    <w:semiHidden/>
    <w:unhideWhenUsed/>
    <w:rsid w:val="000079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ka.ms/FastTrackBAA%2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cs.microsoft.com/en-us/compliance/regulatory/offering-hipaa-hitech"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548A1-EFEE-4ABD-B634-43042475B375}">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6</Pages>
  <Words>2720</Words>
  <Characters>15508</Characters>
  <Application>Microsoft Office Word</Application>
  <DocSecurity>8</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18192</CharactersWithSpaces>
  <SharedDoc>false</SharedDoc>
  <HLinks>
    <vt:vector size="90" baseType="variant">
      <vt:variant>
        <vt:i4>6160478</vt:i4>
      </vt:variant>
      <vt:variant>
        <vt:i4>3</vt:i4>
      </vt:variant>
      <vt:variant>
        <vt:i4>0</vt:i4>
      </vt:variant>
      <vt:variant>
        <vt:i4>5</vt:i4>
      </vt:variant>
      <vt:variant>
        <vt:lpwstr>https://www.microsoft.com/en-us/trustcenter/Compliance/HIPAA</vt:lpwstr>
      </vt:variant>
      <vt:variant>
        <vt:lpwstr/>
      </vt:variant>
      <vt:variant>
        <vt:i4>7209013</vt:i4>
      </vt:variant>
      <vt:variant>
        <vt:i4>0</vt:i4>
      </vt:variant>
      <vt:variant>
        <vt:i4>0</vt:i4>
      </vt:variant>
      <vt:variant>
        <vt:i4>5</vt:i4>
      </vt:variant>
      <vt:variant>
        <vt:lpwstr>http://aka.ms/FastTrackBAA</vt:lpwstr>
      </vt:variant>
      <vt:variant>
        <vt:lpwstr/>
      </vt:variant>
      <vt:variant>
        <vt:i4>3604565</vt:i4>
      </vt:variant>
      <vt:variant>
        <vt:i4>36</vt:i4>
      </vt:variant>
      <vt:variant>
        <vt:i4>0</vt:i4>
      </vt:variant>
      <vt:variant>
        <vt:i4>5</vt:i4>
      </vt:variant>
      <vt:variant>
        <vt:lpwstr>mailto:Ty.Kayam@microsoft.com</vt:lpwstr>
      </vt:variant>
      <vt:variant>
        <vt:lpwstr/>
      </vt:variant>
      <vt:variant>
        <vt:i4>3604565</vt:i4>
      </vt:variant>
      <vt:variant>
        <vt:i4>33</vt:i4>
      </vt:variant>
      <vt:variant>
        <vt:i4>0</vt:i4>
      </vt:variant>
      <vt:variant>
        <vt:i4>5</vt:i4>
      </vt:variant>
      <vt:variant>
        <vt:lpwstr>mailto:Ty.Kayam@microsoft.com</vt:lpwstr>
      </vt:variant>
      <vt:variant>
        <vt:lpwstr/>
      </vt:variant>
      <vt:variant>
        <vt:i4>524343</vt:i4>
      </vt:variant>
      <vt:variant>
        <vt:i4>30</vt:i4>
      </vt:variant>
      <vt:variant>
        <vt:i4>0</vt:i4>
      </vt:variant>
      <vt:variant>
        <vt:i4>5</vt:i4>
      </vt:variant>
      <vt:variant>
        <vt:lpwstr>mailto:nleong@microsoft.com</vt:lpwstr>
      </vt:variant>
      <vt:variant>
        <vt:lpwstr/>
      </vt:variant>
      <vt:variant>
        <vt:i4>5308488</vt:i4>
      </vt:variant>
      <vt:variant>
        <vt:i4>27</vt:i4>
      </vt:variant>
      <vt:variant>
        <vt:i4>0</vt:i4>
      </vt:variant>
      <vt:variant>
        <vt:i4>5</vt:i4>
      </vt:variant>
      <vt:variant>
        <vt:lpwstr>http://www.microsoftvolumelicensing.com/</vt:lpwstr>
      </vt:variant>
      <vt:variant>
        <vt:lpwstr/>
      </vt:variant>
      <vt:variant>
        <vt:i4>786478</vt:i4>
      </vt:variant>
      <vt:variant>
        <vt:i4>24</vt:i4>
      </vt:variant>
      <vt:variant>
        <vt:i4>0</vt:i4>
      </vt:variant>
      <vt:variant>
        <vt:i4>5</vt:i4>
      </vt:variant>
      <vt:variant>
        <vt:lpwstr>mailto:Corey.M.Miller@microsoft.com</vt:lpwstr>
      </vt:variant>
      <vt:variant>
        <vt:lpwstr/>
      </vt:variant>
      <vt:variant>
        <vt:i4>524343</vt:i4>
      </vt:variant>
      <vt:variant>
        <vt:i4>21</vt:i4>
      </vt:variant>
      <vt:variant>
        <vt:i4>0</vt:i4>
      </vt:variant>
      <vt:variant>
        <vt:i4>5</vt:i4>
      </vt:variant>
      <vt:variant>
        <vt:lpwstr>mailto:nleong@microsoft.com</vt:lpwstr>
      </vt:variant>
      <vt:variant>
        <vt:lpwstr/>
      </vt:variant>
      <vt:variant>
        <vt:i4>1900589</vt:i4>
      </vt:variant>
      <vt:variant>
        <vt:i4>18</vt:i4>
      </vt:variant>
      <vt:variant>
        <vt:i4>0</vt:i4>
      </vt:variant>
      <vt:variant>
        <vt:i4>5</vt:i4>
      </vt:variant>
      <vt:variant>
        <vt:lpwstr>mailto:thkayam@microsoft.com</vt:lpwstr>
      </vt:variant>
      <vt:variant>
        <vt:lpwstr/>
      </vt:variant>
      <vt:variant>
        <vt:i4>786478</vt:i4>
      </vt:variant>
      <vt:variant>
        <vt:i4>15</vt:i4>
      </vt:variant>
      <vt:variant>
        <vt:i4>0</vt:i4>
      </vt:variant>
      <vt:variant>
        <vt:i4>5</vt:i4>
      </vt:variant>
      <vt:variant>
        <vt:lpwstr>mailto:Corey.M.Miller@microsoft.com</vt:lpwstr>
      </vt:variant>
      <vt:variant>
        <vt:lpwstr/>
      </vt:variant>
      <vt:variant>
        <vt:i4>524343</vt:i4>
      </vt:variant>
      <vt:variant>
        <vt:i4>12</vt:i4>
      </vt:variant>
      <vt:variant>
        <vt:i4>0</vt:i4>
      </vt:variant>
      <vt:variant>
        <vt:i4>5</vt:i4>
      </vt:variant>
      <vt:variant>
        <vt:lpwstr>mailto:nleong@microsoft.com</vt:lpwstr>
      </vt:variant>
      <vt:variant>
        <vt:lpwstr/>
      </vt:variant>
      <vt:variant>
        <vt:i4>3604565</vt:i4>
      </vt:variant>
      <vt:variant>
        <vt:i4>9</vt:i4>
      </vt:variant>
      <vt:variant>
        <vt:i4>0</vt:i4>
      </vt:variant>
      <vt:variant>
        <vt:i4>5</vt:i4>
      </vt:variant>
      <vt:variant>
        <vt:lpwstr>mailto:Ty.Kayam@microsoft.com</vt:lpwstr>
      </vt:variant>
      <vt:variant>
        <vt:lpwstr/>
      </vt:variant>
      <vt:variant>
        <vt:i4>1900589</vt:i4>
      </vt:variant>
      <vt:variant>
        <vt:i4>6</vt:i4>
      </vt:variant>
      <vt:variant>
        <vt:i4>0</vt:i4>
      </vt:variant>
      <vt:variant>
        <vt:i4>5</vt:i4>
      </vt:variant>
      <vt:variant>
        <vt:lpwstr>mailto:thkayam@microsoft.com</vt:lpwstr>
      </vt:variant>
      <vt:variant>
        <vt:lpwstr/>
      </vt:variant>
      <vt:variant>
        <vt:i4>786478</vt:i4>
      </vt:variant>
      <vt:variant>
        <vt:i4>3</vt:i4>
      </vt:variant>
      <vt:variant>
        <vt:i4>0</vt:i4>
      </vt:variant>
      <vt:variant>
        <vt:i4>5</vt:i4>
      </vt:variant>
      <vt:variant>
        <vt:lpwstr>mailto:Corey.M.Miller@microsoft.com</vt:lpwstr>
      </vt:variant>
      <vt:variant>
        <vt:lpwstr/>
      </vt:variant>
      <vt:variant>
        <vt:i4>524343</vt:i4>
      </vt:variant>
      <vt:variant>
        <vt:i4>0</vt:i4>
      </vt:variant>
      <vt:variant>
        <vt:i4>0</vt:i4>
      </vt:variant>
      <vt:variant>
        <vt:i4>5</vt:i4>
      </vt:variant>
      <vt:variant>
        <vt:lpwstr>mailto:nleong@microsoft.com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2021-02-24T16:38:00Z</dcterms:created>
  <dcterms:modified xsi:type="dcterms:W3CDTF">2021-02-24T16:38:00Z</dcterms:modified>
</cp:coreProperties>
</file>