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5744"/>
          <w:sz w:val="40"/>
        </w:rPr>
        <w:t>Social Distribution Calendar — Revision Summary</w:t>
      </w:r>
    </w:p>
    <w:p>
      <w:r>
        <w:rPr>
          <w:i/>
          <w:color w:val="5A5A5A"/>
          <w:sz w:val="19"/>
        </w:rPr>
        <w:t>ClickUp · IHWI Content System → 01 - Content Production → 📅 Social Distribution Calendar · June 28, 2026</w:t>
      </w:r>
    </w:p>
    <w:p>
      <w:pPr>
        <w:spacing w:before="200"/>
      </w:pPr>
      <w:r>
        <w:rPr>
          <w:b/>
          <w:color w:val="0B5744"/>
          <w:sz w:val="30"/>
        </w:rPr>
        <w:t>What prompted this</w:t>
      </w:r>
    </w:p>
    <w:p>
      <w:r>
        <w:rPr>
          <w:sz w:val="22"/>
        </w:rPr>
        <w:t>During a review of the Social Distribution Calendar in ClickUp, we found the monthly market rotation did not match the Master Plan. Dane County — which is supposed to lead the month — was scheduled dead last (Day 31), and the remaining cities were out of sequence relative to the documented rotation.</w:t>
      </w:r>
    </w:p>
    <w:p>
      <w:pPr>
        <w:spacing w:before="200"/>
      </w:pPr>
      <w:r>
        <w:rPr>
          <w:b/>
          <w:color w:val="0B5744"/>
          <w:sz w:val="30"/>
        </w:rPr>
        <w:t>Source of truth</w:t>
      </w:r>
    </w:p>
    <w:p>
      <w:r>
        <w:rPr>
          <w:sz w:val="22"/>
        </w:rPr>
        <w:t>Integrity_Homes_OPERATING_SYSTEM workbook → "v1.4 Market Rotation" tab (the tab it calls "the load-bearing wall"). The documented rotation is:</w:t>
      </w:r>
    </w:p>
    <w:p>
      <w:pPr>
        <w:pStyle w:val="ListBullet"/>
      </w:pPr>
      <w:r>
        <w:rPr>
          <w:sz w:val="21"/>
        </w:rPr>
        <w:t>Week 1 — Dane County + Madison (Priority Phase, Days 1–3; John publishes page + YouTube)</w:t>
      </w:r>
    </w:p>
    <w:p>
      <w:pPr>
        <w:pStyle w:val="ListBullet"/>
      </w:pPr>
      <w:r>
        <w:rPr>
          <w:sz w:val="21"/>
        </w:rPr>
        <w:t>Week 2 — Sun Prairie + Waunakee</w:t>
      </w:r>
    </w:p>
    <w:p>
      <w:pPr>
        <w:pStyle w:val="ListBullet"/>
      </w:pPr>
      <w:r>
        <w:rPr>
          <w:sz w:val="21"/>
        </w:rPr>
        <w:t>Week 3 — Middleton + DeForest</w:t>
      </w:r>
    </w:p>
    <w:p>
      <w:pPr>
        <w:pStyle w:val="ListBullet"/>
      </w:pPr>
      <w:r>
        <w:rPr>
          <w:sz w:val="21"/>
        </w:rPr>
        <w:t>Week 4 — Verona + (Optional Add-On)</w:t>
      </w:r>
    </w:p>
    <w:p>
      <w:r>
        <w:rPr>
          <w:sz w:val="22"/>
        </w:rPr>
        <w:t>Governing rule: "Market A always before Market B," and Dane County is Market A of Week 1 — the first market out of the gate each month.</w:t>
      </w:r>
    </w:p>
    <w:p>
      <w:pPr>
        <w:spacing w:before="200"/>
      </w:pPr>
      <w:r>
        <w:rPr>
          <w:b/>
          <w:color w:val="0B5744"/>
          <w:sz w:val="30"/>
        </w:rPr>
        <w:t>What was wrong (before)</w:t>
      </w:r>
    </w:p>
    <w:p>
      <w:r>
        <w:rPr>
          <w:sz w:val="22"/>
        </w:rPr>
        <w:t>Market Reel lead days were: Madison (Day 5), DeForest (9), Verona (11), Middleton (15), Waunakee (21), Sun Prairie (27), Dane County (31). Dane County trailed the entire month instead of leading it, and the middle cities did not match the v1.4 pairings.</w:t>
      </w:r>
    </w:p>
    <w:p>
      <w:pPr>
        <w:spacing w:before="200"/>
      </w:pPr>
      <w:r>
        <w:rPr>
          <w:b/>
          <w:color w:val="0B5744"/>
          <w:sz w:val="30"/>
        </w:rPr>
        <w:t>What we changed</w:t>
      </w:r>
    </w:p>
    <w:p>
      <w:r>
        <w:rPr>
          <w:sz w:val="22"/>
        </w:rPr>
        <w:t>Relabeled 91 market tasks in the Social Distribution Calendar so the city rotation matches v1.4, with Dane County leading. Each city's full content set (market Reel, stats, recap/poll, snapshot) moved as a block. Due dates were left unchanged — only the featured city in each slot changed — so the calendar's daily rhythm and posting cadence stayed intact.</w:t>
      </w:r>
    </w:p>
    <w:p>
      <w:pPr>
        <w:spacing w:before="200"/>
      </w:pPr>
      <w:r>
        <w:rPr>
          <w:b/>
          <w:color w:val="0B5744"/>
          <w:sz w:val="30"/>
        </w:rPr>
        <w:t>New rotation order (after)</w:t>
      </w:r>
    </w:p>
    <w:p>
      <w:pPr>
        <w:pStyle w:val="ListBullet"/>
      </w:pPr>
      <w:r>
        <w:rPr>
          <w:sz w:val="21"/>
        </w:rPr>
        <w:t>Dane County — Day 5–6  (now the lead-off market)</w:t>
      </w:r>
    </w:p>
    <w:p>
      <w:pPr>
        <w:pStyle w:val="ListBullet"/>
      </w:pPr>
      <w:r>
        <w:rPr>
          <w:sz w:val="21"/>
        </w:rPr>
        <w:t>Madison — Day 9–10</w:t>
      </w:r>
    </w:p>
    <w:p>
      <w:pPr>
        <w:pStyle w:val="ListBullet"/>
      </w:pPr>
      <w:r>
        <w:rPr>
          <w:sz w:val="21"/>
        </w:rPr>
        <w:t>Sun Prairie — Day 11–12</w:t>
      </w:r>
    </w:p>
    <w:p>
      <w:pPr>
        <w:pStyle w:val="ListBullet"/>
      </w:pPr>
      <w:r>
        <w:rPr>
          <w:sz w:val="21"/>
        </w:rPr>
        <w:t>Waunakee — Day 15–16</w:t>
      </w:r>
    </w:p>
    <w:p>
      <w:pPr>
        <w:pStyle w:val="ListBullet"/>
      </w:pPr>
      <w:r>
        <w:rPr>
          <w:sz w:val="21"/>
        </w:rPr>
        <w:t>Middleton — Day 21–22</w:t>
      </w:r>
    </w:p>
    <w:p>
      <w:pPr>
        <w:pStyle w:val="ListBullet"/>
      </w:pPr>
      <w:r>
        <w:rPr>
          <w:sz w:val="21"/>
        </w:rPr>
        <w:t>DeForest — Day 27–28</w:t>
      </w:r>
    </w:p>
    <w:p>
      <w:pPr>
        <w:pStyle w:val="ListBullet"/>
      </w:pPr>
      <w:r>
        <w:rPr>
          <w:sz w:val="21"/>
        </w:rPr>
        <w:t>Verona — Day 31 + Day 1 (next month)</w:t>
      </w:r>
    </w:p>
    <w:p>
      <w:r>
        <w:rPr>
          <w:sz w:val="22"/>
        </w:rPr>
        <w:t>Verified against ClickUp after the change: the market Reel sequence now matches the v1.4 order and Dane County leads.</w:t>
      </w:r>
    </w:p>
    <w:p>
      <w:pPr>
        <w:spacing w:before="200"/>
      </w:pPr>
      <w:r>
        <w:rPr>
          <w:b/>
          <w:color w:val="0B5744"/>
          <w:sz w:val="30"/>
        </w:rPr>
        <w:t>Scope — what this did NOT do</w:t>
      </w:r>
    </w:p>
    <w:p>
      <w:r>
        <w:rPr>
          <w:sz w:val="22"/>
        </w:rPr>
        <w:t>This corrected the rotation ORDER only. It did not convert the calendar to the SOP's stricter "two markets per week, paired A/B" structure — under v1.4, Dane County and Madison should both sit in Week 1 together, Sun Prairie and Waunakee in Week 2, and so on. The calendar still runs one featured market every few days. Converting to the true 2-markets-per-week layout would require re-dating tasks (not just relabeling) and is an open, optional next step.</w:t>
      </w:r>
    </w:p>
    <w:p>
      <w:pPr>
        <w:spacing w:before="200"/>
      </w:pPr>
      <w:r>
        <w:rPr>
          <w:b/>
          <w:color w:val="0B5744"/>
          <w:sz w:val="30"/>
        </w:rPr>
        <w:t>Note</w:t>
      </w:r>
    </w:p>
    <w:p>
      <w:r>
        <w:rPr>
          <w:sz w:val="22"/>
        </w:rPr>
        <w:t>Six neighborhood "Short" video tasks also live in this same list and were separately corrected; those belong to the Subdivisions project and are documented there, not in this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