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B7EDD" w14:textId="6C4EE65C" w:rsidR="00192A85" w:rsidRPr="005A651D" w:rsidRDefault="00192A85" w:rsidP="005300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jc w:val="center"/>
        <w:rPr>
          <w:b/>
          <w:sz w:val="28"/>
          <w:u w:val="single"/>
        </w:rPr>
      </w:pPr>
      <w:r w:rsidRPr="005A651D">
        <w:rPr>
          <w:b/>
          <w:sz w:val="28"/>
          <w:u w:val="single"/>
        </w:rPr>
        <w:t>Simulation Project Task 3 - Conclusion</w:t>
      </w:r>
    </w:p>
    <w:p w14:paraId="40D12B99" w14:textId="5897FC08" w:rsidR="00117E40" w:rsidRPr="005A651D" w:rsidRDefault="00117E40" w:rsidP="005300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jc w:val="center"/>
        <w:rPr>
          <w:b/>
          <w:sz w:val="28"/>
        </w:rPr>
      </w:pPr>
      <w:r w:rsidRPr="005A651D">
        <w:rPr>
          <w:b/>
          <w:sz w:val="28"/>
        </w:rPr>
        <w:t xml:space="preserve">Name: Aditya Bhardwaj </w:t>
      </w:r>
      <w:r w:rsidR="005A651D">
        <w:rPr>
          <w:b/>
          <w:sz w:val="28"/>
        </w:rPr>
        <w:tab/>
      </w:r>
      <w:r w:rsidR="005A651D">
        <w:rPr>
          <w:b/>
          <w:sz w:val="28"/>
        </w:rPr>
        <w:tab/>
      </w:r>
      <w:r w:rsidR="005A651D">
        <w:rPr>
          <w:b/>
          <w:sz w:val="28"/>
        </w:rPr>
        <w:tab/>
      </w:r>
      <w:r w:rsidR="005A651D">
        <w:rPr>
          <w:b/>
          <w:sz w:val="28"/>
        </w:rPr>
        <w:tab/>
      </w:r>
      <w:r w:rsidR="005A651D">
        <w:rPr>
          <w:b/>
          <w:sz w:val="28"/>
        </w:rPr>
        <w:tab/>
      </w:r>
      <w:r w:rsidR="005A651D">
        <w:rPr>
          <w:b/>
          <w:sz w:val="28"/>
        </w:rPr>
        <w:tab/>
      </w:r>
      <w:r w:rsidR="005A651D">
        <w:rPr>
          <w:b/>
          <w:sz w:val="28"/>
        </w:rPr>
        <w:tab/>
        <w:t xml:space="preserve">            </w:t>
      </w:r>
      <w:bookmarkStart w:id="0" w:name="_GoBack"/>
      <w:bookmarkEnd w:id="0"/>
      <w:r w:rsidRPr="005A651D">
        <w:rPr>
          <w:b/>
          <w:sz w:val="28"/>
        </w:rPr>
        <w:t>Unity ID: ABHARDW2</w:t>
      </w:r>
    </w:p>
    <w:p w14:paraId="33827136" w14:textId="77777777" w:rsidR="00117E40" w:rsidRDefault="00117E40" w:rsidP="00174DD5">
      <w:pPr>
        <w:jc w:val="center"/>
      </w:pPr>
    </w:p>
    <w:p w14:paraId="49DE1044" w14:textId="77777777" w:rsidR="00B76F51" w:rsidRDefault="00B76F51" w:rsidP="00174DD5">
      <w:pPr>
        <w:jc w:val="center"/>
      </w:pPr>
    </w:p>
    <w:p w14:paraId="40F1E27D" w14:textId="0E6D82E6" w:rsidR="007B33E6" w:rsidRDefault="00B664C5" w:rsidP="00174DD5">
      <w:pPr>
        <w:jc w:val="center"/>
        <w:rPr>
          <w:rFonts w:eastAsiaTheme="minorEastAsia"/>
          <w:b/>
          <w:sz w:val="32"/>
          <w:u w:val="single"/>
        </w:rPr>
      </w:pPr>
      <w:r w:rsidRPr="00B664C5">
        <w:rPr>
          <w:rFonts w:eastAsiaTheme="minorEastAsia"/>
          <w:b/>
          <w:sz w:val="32"/>
          <w:u w:val="single"/>
        </w:rPr>
        <w:t>Service Time</w:t>
      </w:r>
    </w:p>
    <w:p w14:paraId="7373E82A" w14:textId="77777777" w:rsidR="006E3BE1" w:rsidRDefault="006E3BE1" w:rsidP="00174DD5">
      <w:pPr>
        <w:jc w:val="center"/>
        <w:rPr>
          <w:rFonts w:eastAsiaTheme="minorEastAsia"/>
          <w:b/>
          <w:sz w:val="32"/>
          <w:u w:val="single"/>
        </w:rPr>
      </w:pPr>
    </w:p>
    <w:p w14:paraId="409E781D" w14:textId="281D6B23" w:rsidR="006E3BE1" w:rsidRPr="00B664C5" w:rsidRDefault="006E3BE1" w:rsidP="00174DD5">
      <w:pPr>
        <w:jc w:val="center"/>
        <w:rPr>
          <w:b/>
          <w:sz w:val="32"/>
          <w:u w:val="single"/>
        </w:rPr>
      </w:pPr>
      <w:r>
        <w:rPr>
          <w:rFonts w:eastAsiaTheme="minorEastAsia"/>
          <w:b/>
          <w:sz w:val="32"/>
          <w:u w:val="single"/>
        </w:rPr>
        <w:t>Mean D and 95</w:t>
      </w:r>
      <w:r w:rsidRPr="006E3BE1">
        <w:rPr>
          <w:rFonts w:eastAsiaTheme="minorEastAsia"/>
          <w:b/>
          <w:sz w:val="32"/>
          <w:u w:val="single"/>
          <w:vertAlign w:val="superscript"/>
        </w:rPr>
        <w:t>th</w:t>
      </w:r>
      <w:r>
        <w:rPr>
          <w:rFonts w:eastAsiaTheme="minorEastAsia"/>
          <w:b/>
          <w:sz w:val="32"/>
          <w:u w:val="single"/>
        </w:rPr>
        <w:t xml:space="preserve"> Percentile of D for the Service Time:</w:t>
      </w:r>
    </w:p>
    <w:p w14:paraId="1A8AAE0E" w14:textId="77777777" w:rsidR="0080342D" w:rsidRDefault="0080342D" w:rsidP="00174DD5">
      <w:pPr>
        <w:jc w:val="center"/>
      </w:pPr>
    </w:p>
    <w:tbl>
      <w:tblPr>
        <w:tblW w:w="10420" w:type="dxa"/>
        <w:tblInd w:w="4" w:type="dxa"/>
        <w:tblLook w:val="04A0" w:firstRow="1" w:lastRow="0" w:firstColumn="1" w:lastColumn="0" w:noHBand="0" w:noVBand="1"/>
      </w:tblPr>
      <w:tblGrid>
        <w:gridCol w:w="993"/>
        <w:gridCol w:w="1136"/>
        <w:gridCol w:w="1605"/>
        <w:gridCol w:w="1606"/>
        <w:gridCol w:w="1724"/>
        <w:gridCol w:w="1747"/>
        <w:gridCol w:w="1631"/>
      </w:tblGrid>
      <w:tr w:rsidR="00407757" w:rsidRPr="00926583" w14:paraId="77AFA2DE" w14:textId="77777777" w:rsidTr="00B76F51">
        <w:trPr>
          <w:trHeight w:val="40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DCC7F" w14:textId="4265839F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Service Time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AE567" w14:textId="2E166265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Mean D</w:t>
            </w:r>
          </w:p>
        </w:tc>
        <w:tc>
          <w:tcPr>
            <w:tcW w:w="31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5DC06" w14:textId="54BCCCF9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 of Mean Value</w:t>
            </w:r>
          </w:p>
        </w:tc>
        <w:tc>
          <w:tcPr>
            <w:tcW w:w="17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BEF9" w14:textId="431B1E8B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95</w:t>
            </w:r>
            <w:r w:rsidRPr="006E3BE1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th</w:t>
            </w: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 xml:space="preserve"> Percentile</w:t>
            </w: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2F436" w14:textId="0E235AC0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 of 95</w:t>
            </w:r>
            <w:r w:rsidRPr="00926583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th</w:t>
            </w: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 xml:space="preserve"> Percentile</w:t>
            </w:r>
          </w:p>
        </w:tc>
      </w:tr>
      <w:tr w:rsidR="00407757" w:rsidRPr="00926583" w14:paraId="4DDEEF1C" w14:textId="77777777" w:rsidTr="00B76F51">
        <w:trPr>
          <w:trHeight w:val="612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FDFD" w14:textId="0815AB9E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C7E0" w14:textId="060FFAD5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A49A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Confidence(+)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AC0B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Confidence(-)</w:t>
            </w:r>
          </w:p>
        </w:tc>
        <w:tc>
          <w:tcPr>
            <w:tcW w:w="17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04D4" w14:textId="7B95F669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02E5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Confidence(+)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E8C6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Confidence(-)</w:t>
            </w:r>
          </w:p>
        </w:tc>
      </w:tr>
      <w:tr w:rsidR="0080342D" w:rsidRPr="0080342D" w14:paraId="286C6977" w14:textId="77777777" w:rsidTr="00B76F51">
        <w:trPr>
          <w:trHeight w:val="32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F6AF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9EE6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18.81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92D3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21.28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AE79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16.34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41AF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35.91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9571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46.36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D2BC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25.46</w:t>
            </w:r>
          </w:p>
        </w:tc>
      </w:tr>
      <w:tr w:rsidR="0080342D" w:rsidRPr="0080342D" w14:paraId="01991A1B" w14:textId="77777777" w:rsidTr="00B76F51">
        <w:trPr>
          <w:trHeight w:val="32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6B4AC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1E67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24.17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08D2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26.97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2AFE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21.37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2FC9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35.57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FFDF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48.18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DD49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22.96</w:t>
            </w:r>
          </w:p>
        </w:tc>
      </w:tr>
      <w:tr w:rsidR="0080342D" w:rsidRPr="0080342D" w14:paraId="4C6857C6" w14:textId="77777777" w:rsidTr="00B76F51">
        <w:trPr>
          <w:trHeight w:val="32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3674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E646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29.29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BA1C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31.93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A43C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26.65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4008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43.89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2927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54.58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AA7C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33.2</w:t>
            </w:r>
          </w:p>
        </w:tc>
      </w:tr>
      <w:tr w:rsidR="0080342D" w:rsidRPr="0080342D" w14:paraId="5B31461B" w14:textId="77777777" w:rsidTr="00B76F51">
        <w:trPr>
          <w:trHeight w:val="32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232A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F31A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38.27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3F50D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41.49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CDF0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35.05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3E56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60.11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5464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74.4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506D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45.82</w:t>
            </w:r>
          </w:p>
        </w:tc>
      </w:tr>
      <w:tr w:rsidR="0080342D" w:rsidRPr="0080342D" w14:paraId="6BC60DDE" w14:textId="77777777" w:rsidTr="00B76F51">
        <w:trPr>
          <w:trHeight w:val="32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51DA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DC15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52.32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DAD5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56.68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08FA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47.96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325E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79.95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07EF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97.55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0FC0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62.35</w:t>
            </w:r>
          </w:p>
        </w:tc>
      </w:tr>
      <w:tr w:rsidR="0080342D" w:rsidRPr="0080342D" w14:paraId="11031049" w14:textId="77777777" w:rsidTr="00B76F51">
        <w:trPr>
          <w:trHeight w:val="32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4AD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9165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74.19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1B3A5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84.36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5A69E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64.02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E7E5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160.41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16A1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197.26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018C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123.56</w:t>
            </w:r>
          </w:p>
        </w:tc>
      </w:tr>
      <w:tr w:rsidR="0080342D" w:rsidRPr="0080342D" w14:paraId="49E2E27E" w14:textId="77777777" w:rsidTr="00B76F51">
        <w:trPr>
          <w:trHeight w:val="32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6B61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83E2F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128.18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51AA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142.12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B044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114.24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F274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221.82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0622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275.49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36D2" w14:textId="77777777" w:rsidR="0080342D" w:rsidRPr="0080342D" w:rsidRDefault="0080342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342D">
              <w:rPr>
                <w:rFonts w:ascii="Calibri" w:eastAsia="Times New Roman" w:hAnsi="Calibri" w:cs="Times New Roman"/>
                <w:color w:val="000000"/>
              </w:rPr>
              <w:t>168.15</w:t>
            </w:r>
          </w:p>
        </w:tc>
      </w:tr>
    </w:tbl>
    <w:p w14:paraId="2017CB33" w14:textId="77777777" w:rsidR="0080342D" w:rsidRDefault="0080342D" w:rsidP="00174DD5">
      <w:pPr>
        <w:jc w:val="center"/>
      </w:pPr>
    </w:p>
    <w:p w14:paraId="4C3B8DE7" w14:textId="4E3E4C96" w:rsidR="00AC5DB2" w:rsidRDefault="006E3BE1" w:rsidP="00E233A1">
      <w:pPr>
        <w:jc w:val="both"/>
      </w:pPr>
      <w:r>
        <w:t xml:space="preserve">In the graph below, we can observe that the Mean D value increases exponentially as the Service time is increased which </w:t>
      </w:r>
      <w:r w:rsidR="00814807">
        <w:t>indicates the number of devices going into the buffer queue while the Current device is serviced increased with the service time.</w:t>
      </w:r>
    </w:p>
    <w:p w14:paraId="23BFA43F" w14:textId="77777777" w:rsidR="00AC5DB2" w:rsidRDefault="00AC5DB2" w:rsidP="00174DD5">
      <w:pPr>
        <w:jc w:val="center"/>
      </w:pPr>
    </w:p>
    <w:p w14:paraId="3149E62E" w14:textId="372D326D" w:rsidR="00E03C74" w:rsidRDefault="0090541A" w:rsidP="00174DD5">
      <w:pPr>
        <w:jc w:val="center"/>
      </w:pPr>
      <w:r>
        <w:rPr>
          <w:noProof/>
        </w:rPr>
        <w:drawing>
          <wp:inline distT="0" distB="0" distL="0" distR="0" wp14:anchorId="5BF450AB" wp14:editId="02E24621">
            <wp:extent cx="5470427" cy="3003648"/>
            <wp:effectExtent l="0" t="0" r="1651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D6A346" w14:textId="77777777" w:rsidR="00E03C74" w:rsidRDefault="00E03C74" w:rsidP="00174DD5">
      <w:pPr>
        <w:jc w:val="center"/>
      </w:pPr>
    </w:p>
    <w:p w14:paraId="5C77F029" w14:textId="77777777" w:rsidR="00E03C74" w:rsidRDefault="00E03C74" w:rsidP="00174DD5">
      <w:pPr>
        <w:jc w:val="center"/>
      </w:pPr>
    </w:p>
    <w:p w14:paraId="00453B40" w14:textId="282CD590" w:rsidR="00E03C74" w:rsidRDefault="006E3BE1" w:rsidP="00E233A1">
      <w:pPr>
        <w:jc w:val="both"/>
      </w:pPr>
      <w:r>
        <w:t>In the graph below for the 95</w:t>
      </w:r>
      <w:r w:rsidRPr="006E3BE1">
        <w:rPr>
          <w:vertAlign w:val="superscript"/>
        </w:rPr>
        <w:t>th</w:t>
      </w:r>
      <w:r>
        <w:t xml:space="preserve"> percentile of </w:t>
      </w:r>
      <w:r w:rsidR="00451037">
        <w:t>D, we can observe the similar trend with some fluctuations which are due to using 95</w:t>
      </w:r>
      <w:r w:rsidR="00451037" w:rsidRPr="00451037">
        <w:rPr>
          <w:vertAlign w:val="superscript"/>
        </w:rPr>
        <w:t>th</w:t>
      </w:r>
      <w:r w:rsidR="00451037">
        <w:t xml:space="preserve"> percentile value. </w:t>
      </w:r>
      <w:r w:rsidR="00744DF0">
        <w:t>This is because as the mean value changes similarly the 95</w:t>
      </w:r>
      <w:r w:rsidR="00744DF0" w:rsidRPr="00744DF0">
        <w:rPr>
          <w:vertAlign w:val="superscript"/>
        </w:rPr>
        <w:t>th</w:t>
      </w:r>
      <w:r w:rsidR="00744DF0">
        <w:t xml:space="preserve"> Percentile values will change for every iteration.</w:t>
      </w:r>
    </w:p>
    <w:p w14:paraId="29B82871" w14:textId="003E6CBF" w:rsidR="00E03C74" w:rsidRDefault="004B7D6D" w:rsidP="00174DD5">
      <w:pPr>
        <w:jc w:val="center"/>
      </w:pPr>
      <w:r>
        <w:rPr>
          <w:noProof/>
        </w:rPr>
        <w:lastRenderedPageBreak/>
        <w:drawing>
          <wp:inline distT="0" distB="0" distL="0" distR="0" wp14:anchorId="75DE8BDD" wp14:editId="6062D584">
            <wp:extent cx="5493873" cy="2517140"/>
            <wp:effectExtent l="0" t="0" r="18415" b="2286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07596F" w14:textId="77777777" w:rsidR="00C55930" w:rsidRDefault="00C55930" w:rsidP="00174DD5">
      <w:pPr>
        <w:jc w:val="center"/>
      </w:pPr>
    </w:p>
    <w:p w14:paraId="689B7C12" w14:textId="52EC1F56" w:rsidR="008602B7" w:rsidRDefault="00163451" w:rsidP="00174D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B1297" wp14:editId="73F32081">
                <wp:simplePos x="0" y="0"/>
                <wp:positionH relativeFrom="column">
                  <wp:posOffset>13335</wp:posOffset>
                </wp:positionH>
                <wp:positionV relativeFrom="paragraph">
                  <wp:posOffset>146685</wp:posOffset>
                </wp:positionV>
                <wp:extent cx="6553200" cy="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6535D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1.55pt" to="517.05pt,1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4EA6AEE0" w14:textId="059C481A" w:rsidR="00D665D7" w:rsidRPr="008602B7" w:rsidRDefault="008602B7" w:rsidP="00174DD5">
      <w:pPr>
        <w:jc w:val="center"/>
        <w:rPr>
          <w:b/>
          <w:sz w:val="32"/>
          <w:u w:val="single"/>
        </w:rPr>
      </w:pPr>
      <w:r>
        <w:rPr>
          <w:rFonts w:eastAsiaTheme="minorEastAsia"/>
          <w:b/>
          <w:sz w:val="32"/>
          <w:u w:val="single"/>
        </w:rPr>
        <w:t>Mean D and 95</w:t>
      </w:r>
      <w:r w:rsidRPr="006E3BE1">
        <w:rPr>
          <w:rFonts w:eastAsiaTheme="minorEastAsia"/>
          <w:b/>
          <w:sz w:val="32"/>
          <w:u w:val="single"/>
          <w:vertAlign w:val="superscript"/>
        </w:rPr>
        <w:t>th</w:t>
      </w:r>
      <w:r>
        <w:rPr>
          <w:rFonts w:eastAsiaTheme="minorEastAsia"/>
          <w:b/>
          <w:sz w:val="32"/>
          <w:u w:val="single"/>
        </w:rPr>
        <w:t xml:space="preserve"> Percentile of T</w:t>
      </w:r>
      <w:r>
        <w:rPr>
          <w:rFonts w:eastAsiaTheme="minorEastAsia"/>
          <w:b/>
          <w:sz w:val="32"/>
          <w:u w:val="single"/>
        </w:rPr>
        <w:t xml:space="preserve"> for the Service Time:</w:t>
      </w:r>
    </w:p>
    <w:p w14:paraId="4A16D2A2" w14:textId="77777777" w:rsidR="008602B7" w:rsidRDefault="008602B7" w:rsidP="00174DD5">
      <w:pPr>
        <w:jc w:val="center"/>
      </w:pPr>
    </w:p>
    <w:tbl>
      <w:tblPr>
        <w:tblW w:w="10444" w:type="dxa"/>
        <w:tblInd w:w="4" w:type="dxa"/>
        <w:tblLook w:val="04A0" w:firstRow="1" w:lastRow="0" w:firstColumn="1" w:lastColumn="0" w:noHBand="0" w:noVBand="1"/>
      </w:tblPr>
      <w:tblGrid>
        <w:gridCol w:w="995"/>
        <w:gridCol w:w="1180"/>
        <w:gridCol w:w="1605"/>
        <w:gridCol w:w="1629"/>
        <w:gridCol w:w="1706"/>
        <w:gridCol w:w="1696"/>
        <w:gridCol w:w="1633"/>
      </w:tblGrid>
      <w:tr w:rsidR="00407757" w:rsidRPr="00926583" w14:paraId="0AB52366" w14:textId="77777777" w:rsidTr="00814807">
        <w:trPr>
          <w:trHeight w:val="320"/>
        </w:trPr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CAF25" w14:textId="5EDFF73F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Service Time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8023F" w14:textId="48FE6804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Mean T</w:t>
            </w:r>
          </w:p>
        </w:tc>
        <w:tc>
          <w:tcPr>
            <w:tcW w:w="3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0A8DE" w14:textId="2139D7EE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 of Mean Value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B001F" w14:textId="5FA200D5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95th Percentile</w:t>
            </w:r>
          </w:p>
        </w:tc>
        <w:tc>
          <w:tcPr>
            <w:tcW w:w="3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5462" w14:textId="60391861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 of 95</w:t>
            </w:r>
            <w:r w:rsidRPr="00926583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th</w:t>
            </w: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 xml:space="preserve"> Percentile</w:t>
            </w:r>
          </w:p>
        </w:tc>
      </w:tr>
      <w:tr w:rsidR="00407757" w:rsidRPr="00926583" w14:paraId="3AD87282" w14:textId="77777777" w:rsidTr="00814807">
        <w:trPr>
          <w:trHeight w:val="320"/>
        </w:trPr>
        <w:tc>
          <w:tcPr>
            <w:tcW w:w="9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3224" w14:textId="5FB5DCAE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85B1" w14:textId="7B78165A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9F62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Confidence(+)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4267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Confidence(-)</w:t>
            </w:r>
          </w:p>
        </w:tc>
        <w:tc>
          <w:tcPr>
            <w:tcW w:w="170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2E0E" w14:textId="3F66A3AD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913F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Confidence(+)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06A2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Confidence(-)</w:t>
            </w:r>
          </w:p>
        </w:tc>
      </w:tr>
      <w:tr w:rsidR="0093061A" w:rsidRPr="0093061A" w14:paraId="05875A08" w14:textId="77777777" w:rsidTr="00814807">
        <w:trPr>
          <w:trHeight w:val="32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B03B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9A74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13.95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37DF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14.26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36C8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13.64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8F84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16.03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C9445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17.28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E253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14.78</w:t>
            </w:r>
          </w:p>
        </w:tc>
      </w:tr>
      <w:tr w:rsidR="0093061A" w:rsidRPr="0093061A" w14:paraId="6FDFFDF1" w14:textId="77777777" w:rsidTr="00814807">
        <w:trPr>
          <w:trHeight w:val="32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8A26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91D8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17.81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F498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18.37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3EFC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17.25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4C99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21.99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5796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23.82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CC57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20.16</w:t>
            </w:r>
          </w:p>
        </w:tc>
      </w:tr>
      <w:tr w:rsidR="0093061A" w:rsidRPr="0093061A" w14:paraId="3D626A61" w14:textId="77777777" w:rsidTr="00814807">
        <w:trPr>
          <w:trHeight w:val="32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0CAB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01B8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23.17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C497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24.04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990A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22.3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F9B6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27.92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8963C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30.29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2A7A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25.55</w:t>
            </w:r>
          </w:p>
        </w:tc>
      </w:tr>
      <w:tr w:rsidR="0093061A" w:rsidRPr="0093061A" w14:paraId="35016CE5" w14:textId="77777777" w:rsidTr="00814807">
        <w:trPr>
          <w:trHeight w:val="32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DFD6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CAFD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30.24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393A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31.45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A66DF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29.03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5C24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37.84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B6E8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B65A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33.68</w:t>
            </w:r>
          </w:p>
        </w:tc>
      </w:tr>
      <w:tr w:rsidR="0093061A" w:rsidRPr="0093061A" w14:paraId="63E61734" w14:textId="77777777" w:rsidTr="00814807">
        <w:trPr>
          <w:trHeight w:val="32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B4AA3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B0098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46.09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9598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48.56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1C1E9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43.62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8CB62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66.5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29DF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76.02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1D7C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56.98</w:t>
            </w:r>
          </w:p>
        </w:tc>
      </w:tr>
      <w:tr w:rsidR="0093061A" w:rsidRPr="0093061A" w14:paraId="0F1DEDF9" w14:textId="77777777" w:rsidTr="00814807">
        <w:trPr>
          <w:trHeight w:val="32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1B28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8B45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69.26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C9AE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77.33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FC8A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61.19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1C4B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142.49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1AC7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173.71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FA3D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111.27</w:t>
            </w:r>
          </w:p>
        </w:tc>
      </w:tr>
      <w:tr w:rsidR="0093061A" w:rsidRPr="0093061A" w14:paraId="7871A38D" w14:textId="77777777" w:rsidTr="00814807">
        <w:trPr>
          <w:trHeight w:val="32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2DF2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5124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126.75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9CB6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138.83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A24C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114.67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0F95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200.14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9607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243.86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6EA6" w14:textId="77777777" w:rsidR="0093061A" w:rsidRPr="0093061A" w:rsidRDefault="0093061A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061A">
              <w:rPr>
                <w:rFonts w:ascii="Calibri" w:eastAsia="Times New Roman" w:hAnsi="Calibri" w:cs="Times New Roman"/>
                <w:color w:val="000000"/>
              </w:rPr>
              <w:t>156.42</w:t>
            </w:r>
          </w:p>
        </w:tc>
      </w:tr>
    </w:tbl>
    <w:p w14:paraId="72B119DF" w14:textId="77777777" w:rsidR="00E54F03" w:rsidRDefault="00E54F03" w:rsidP="00814807">
      <w:pPr>
        <w:jc w:val="center"/>
      </w:pPr>
    </w:p>
    <w:p w14:paraId="3D561C01" w14:textId="3AC5C314" w:rsidR="00933C7A" w:rsidRDefault="00814807" w:rsidP="002355DD">
      <w:pPr>
        <w:jc w:val="both"/>
      </w:pPr>
      <w:r>
        <w:t>In the graph below</w:t>
      </w:r>
      <w:r w:rsidR="003B07A3">
        <w:t>, we can observe that the Mean T</w:t>
      </w:r>
      <w:r>
        <w:t xml:space="preserve"> value increases as the Service time is increased which indicates the number of devices going into the buffer queue while the Current device is serviced increased with the service time.</w:t>
      </w:r>
      <w:r w:rsidR="003B07A3">
        <w:t xml:space="preserve"> An exponential level increase can be observed from Service time 15 to Service time 17</w:t>
      </w:r>
      <w:r w:rsidR="00F23F20">
        <w:t xml:space="preserve"> which can be related to </w:t>
      </w:r>
      <w:r w:rsidR="00FA362E">
        <w:t>time spent by each device in the retransmission.</w:t>
      </w:r>
    </w:p>
    <w:p w14:paraId="3858507E" w14:textId="77777777" w:rsidR="004B7D6D" w:rsidRDefault="004B7D6D" w:rsidP="00174DD5">
      <w:pPr>
        <w:jc w:val="center"/>
      </w:pPr>
    </w:p>
    <w:p w14:paraId="7D99EB61" w14:textId="4160B981" w:rsidR="0093061A" w:rsidRDefault="004B7D6D" w:rsidP="00174DD5">
      <w:pPr>
        <w:jc w:val="center"/>
      </w:pPr>
      <w:r>
        <w:rPr>
          <w:noProof/>
        </w:rPr>
        <w:drawing>
          <wp:inline distT="0" distB="0" distL="0" distR="0" wp14:anchorId="36B96B45" wp14:editId="504282AB">
            <wp:extent cx="4995643" cy="3088640"/>
            <wp:effectExtent l="0" t="0" r="8255" b="1016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ABC406" w14:textId="77777777" w:rsidR="004B7D6D" w:rsidRDefault="004B7D6D" w:rsidP="00174DD5">
      <w:pPr>
        <w:jc w:val="center"/>
      </w:pPr>
    </w:p>
    <w:p w14:paraId="0C8BF1ED" w14:textId="77777777" w:rsidR="004B7D6D" w:rsidRDefault="004B7D6D" w:rsidP="00174DD5">
      <w:pPr>
        <w:jc w:val="center"/>
      </w:pPr>
    </w:p>
    <w:p w14:paraId="35A513D2" w14:textId="77777777" w:rsidR="00F4644E" w:rsidRDefault="00F4644E" w:rsidP="00174DD5">
      <w:pPr>
        <w:jc w:val="center"/>
      </w:pPr>
    </w:p>
    <w:p w14:paraId="50A28EE4" w14:textId="119ED441" w:rsidR="005244E1" w:rsidRDefault="004B7D6D" w:rsidP="00174DD5">
      <w:pPr>
        <w:jc w:val="center"/>
      </w:pPr>
      <w:r>
        <w:rPr>
          <w:noProof/>
        </w:rPr>
        <w:drawing>
          <wp:inline distT="0" distB="0" distL="0" distR="0" wp14:anchorId="15417DA2" wp14:editId="05A438F8">
            <wp:extent cx="5042535" cy="3273278"/>
            <wp:effectExtent l="0" t="0" r="12065" b="381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CC544D" w14:textId="77777777" w:rsidR="004F4174" w:rsidRDefault="004F4174" w:rsidP="00174DD5">
      <w:pPr>
        <w:jc w:val="center"/>
      </w:pPr>
    </w:p>
    <w:p w14:paraId="7D244267" w14:textId="78907EAE" w:rsidR="00E32318" w:rsidRDefault="00E32318" w:rsidP="00487C8C">
      <w:pPr>
        <w:jc w:val="both"/>
      </w:pPr>
      <w:r>
        <w:t>In the graph above, the similar trend continues as th</w:t>
      </w:r>
      <w:r w:rsidR="007C11F1">
        <w:t>at observed in the Mean T graph. Though there is some difference in pattern which is due to the percentile value in the graph.</w:t>
      </w:r>
    </w:p>
    <w:p w14:paraId="7AE3FF07" w14:textId="77777777" w:rsidR="005F1219" w:rsidRDefault="005F1219" w:rsidP="00174DD5">
      <w:pPr>
        <w:jc w:val="center"/>
      </w:pPr>
    </w:p>
    <w:p w14:paraId="4794C376" w14:textId="39285F09" w:rsidR="00D95A19" w:rsidRDefault="00163451" w:rsidP="00174D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2BB94" wp14:editId="1B72F86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53200" cy="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719C8" id="Straight Connector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6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0BE6D366" w14:textId="5BF9A1D7" w:rsidR="00731C51" w:rsidRPr="00731C51" w:rsidRDefault="00731C51" w:rsidP="00174DD5">
      <w:pPr>
        <w:jc w:val="center"/>
        <w:rPr>
          <w:b/>
          <w:sz w:val="32"/>
          <w:u w:val="single"/>
        </w:rPr>
      </w:pPr>
      <w:r>
        <w:rPr>
          <w:rFonts w:eastAsiaTheme="minorEastAsia"/>
          <w:b/>
          <w:sz w:val="32"/>
          <w:u w:val="single"/>
        </w:rPr>
        <w:t xml:space="preserve">Mean </w:t>
      </w:r>
      <w:r>
        <w:rPr>
          <w:rFonts w:eastAsiaTheme="minorEastAsia"/>
          <w:b/>
          <w:sz w:val="32"/>
          <w:u w:val="single"/>
        </w:rPr>
        <w:t xml:space="preserve">of P </w:t>
      </w:r>
      <w:r>
        <w:rPr>
          <w:rFonts w:eastAsiaTheme="minorEastAsia"/>
          <w:b/>
          <w:sz w:val="32"/>
          <w:u w:val="single"/>
        </w:rPr>
        <w:t>for the Service Time:</w:t>
      </w:r>
    </w:p>
    <w:p w14:paraId="748776D6" w14:textId="77777777" w:rsidR="00731C51" w:rsidRDefault="00731C51" w:rsidP="00174DD5">
      <w:pPr>
        <w:jc w:val="center"/>
      </w:pPr>
    </w:p>
    <w:tbl>
      <w:tblPr>
        <w:tblW w:w="5913" w:type="dxa"/>
        <w:tblInd w:w="2164" w:type="dxa"/>
        <w:tblLook w:val="04A0" w:firstRow="1" w:lastRow="0" w:firstColumn="1" w:lastColumn="0" w:noHBand="0" w:noVBand="1"/>
      </w:tblPr>
      <w:tblGrid>
        <w:gridCol w:w="1555"/>
        <w:gridCol w:w="1129"/>
        <w:gridCol w:w="1605"/>
        <w:gridCol w:w="1624"/>
      </w:tblGrid>
      <w:tr w:rsidR="00B530C2" w:rsidRPr="00926583" w14:paraId="48CD6E09" w14:textId="77777777" w:rsidTr="00AC5DB2">
        <w:trPr>
          <w:trHeight w:val="3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75C4" w14:textId="77777777" w:rsidR="00B530C2" w:rsidRPr="00926583" w:rsidRDefault="00B530C2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Service Time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BA7F" w14:textId="77777777" w:rsidR="00B530C2" w:rsidRPr="00926583" w:rsidRDefault="00B530C2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Mean P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48E5" w14:textId="77777777" w:rsidR="00B530C2" w:rsidRPr="00926583" w:rsidRDefault="00B530C2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Confidence(+)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39DC" w14:textId="77777777" w:rsidR="00B530C2" w:rsidRPr="00926583" w:rsidRDefault="00B530C2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Confidence(-)</w:t>
            </w:r>
          </w:p>
        </w:tc>
      </w:tr>
      <w:tr w:rsidR="00B530C2" w:rsidRPr="00B530C2" w14:paraId="7A566C25" w14:textId="77777777" w:rsidTr="00AC5DB2">
        <w:trPr>
          <w:trHeight w:val="3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32331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D30F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18139.12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D27F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18288.79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2947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17989.45</w:t>
            </w:r>
          </w:p>
        </w:tc>
      </w:tr>
      <w:tr w:rsidR="00B530C2" w:rsidRPr="00B530C2" w14:paraId="29E7BE4E" w14:textId="77777777" w:rsidTr="00AC5DB2">
        <w:trPr>
          <w:trHeight w:val="3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C219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2043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18131.78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6263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18306.56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44B5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17957</w:t>
            </w:r>
          </w:p>
        </w:tc>
      </w:tr>
      <w:tr w:rsidR="00B530C2" w:rsidRPr="00B530C2" w14:paraId="72B792DB" w14:textId="77777777" w:rsidTr="00AC5DB2">
        <w:trPr>
          <w:trHeight w:val="3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C750D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4ED6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18104.77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3CC9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18264.62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CB15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17944.92</w:t>
            </w:r>
          </w:p>
        </w:tc>
      </w:tr>
      <w:tr w:rsidR="00B530C2" w:rsidRPr="00B530C2" w14:paraId="566B4E8D" w14:textId="77777777" w:rsidTr="00AC5DB2">
        <w:trPr>
          <w:trHeight w:val="3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DE89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AF4BA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18180.1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5DEF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18329.47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75E9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18030.73</w:t>
            </w:r>
          </w:p>
        </w:tc>
      </w:tr>
      <w:tr w:rsidR="00B530C2" w:rsidRPr="00B530C2" w14:paraId="70DCCC69" w14:textId="77777777" w:rsidTr="00AC5DB2">
        <w:trPr>
          <w:trHeight w:val="3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4811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B401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18059.22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5FB4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18209.8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7853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17908.64</w:t>
            </w:r>
          </w:p>
        </w:tc>
      </w:tr>
      <w:tr w:rsidR="00B530C2" w:rsidRPr="00B530C2" w14:paraId="3C011081" w14:textId="77777777" w:rsidTr="00AC5DB2">
        <w:trPr>
          <w:trHeight w:val="3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C430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62F2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18147.86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9AE9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18324.32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8A94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17971.4</w:t>
            </w:r>
          </w:p>
        </w:tc>
      </w:tr>
      <w:tr w:rsidR="00B530C2" w:rsidRPr="00B530C2" w14:paraId="2985BFD8" w14:textId="77777777" w:rsidTr="00AC5DB2">
        <w:trPr>
          <w:trHeight w:val="3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FC4F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1534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18146.14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2FB4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18268.09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CEA0" w14:textId="77777777" w:rsidR="00B530C2" w:rsidRPr="00B530C2" w:rsidRDefault="00B530C2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0C2">
              <w:rPr>
                <w:rFonts w:ascii="Calibri" w:eastAsia="Times New Roman" w:hAnsi="Calibri" w:cs="Times New Roman"/>
                <w:color w:val="000000"/>
              </w:rPr>
              <w:t>18024.19</w:t>
            </w:r>
          </w:p>
        </w:tc>
      </w:tr>
    </w:tbl>
    <w:p w14:paraId="14E7E0A7" w14:textId="77777777" w:rsidR="0093061A" w:rsidRDefault="0093061A" w:rsidP="00174DD5">
      <w:pPr>
        <w:jc w:val="center"/>
      </w:pPr>
    </w:p>
    <w:p w14:paraId="2D228B13" w14:textId="51537B9A" w:rsidR="00FE1B5B" w:rsidRDefault="00FE1B5B" w:rsidP="001A3DD9">
      <w:pPr>
        <w:jc w:val="both"/>
      </w:pPr>
      <w:r>
        <w:t>In the graph below</w:t>
      </w:r>
      <w:r w:rsidR="00C66B52">
        <w:t>, we can observe that the Mean P</w:t>
      </w:r>
      <w:r>
        <w:t xml:space="preserve"> value </w:t>
      </w:r>
      <w:r w:rsidR="00C66B52">
        <w:t>varies with little fluctuations which means that the total execution time doesn’t</w:t>
      </w:r>
      <w:r w:rsidR="00F76A0D">
        <w:t xml:space="preserve"> vary much with the inc</w:t>
      </w:r>
      <w:r w:rsidR="007A20AB">
        <w:t>rease in service time. This confirms that the average total execution time changes very little even upon varying the service time.</w:t>
      </w:r>
    </w:p>
    <w:p w14:paraId="7E583ED8" w14:textId="16AAE5E8" w:rsidR="00E03C74" w:rsidRDefault="00E03C74" w:rsidP="00174DD5">
      <w:pPr>
        <w:jc w:val="center"/>
      </w:pPr>
    </w:p>
    <w:p w14:paraId="3542BBCA" w14:textId="5D91DD31" w:rsidR="00256533" w:rsidRDefault="00256533" w:rsidP="00174DD5">
      <w:pPr>
        <w:jc w:val="center"/>
      </w:pPr>
      <w:r>
        <w:rPr>
          <w:noProof/>
        </w:rPr>
        <w:drawing>
          <wp:inline distT="0" distB="0" distL="0" distR="0" wp14:anchorId="3FDF77B8" wp14:editId="1E890388">
            <wp:extent cx="5652135" cy="3249832"/>
            <wp:effectExtent l="0" t="0" r="12065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13431E" w14:textId="77777777" w:rsidR="00262DCA" w:rsidRDefault="00262DCA" w:rsidP="00174DD5">
      <w:pPr>
        <w:jc w:val="center"/>
      </w:pPr>
    </w:p>
    <w:p w14:paraId="79500F2C" w14:textId="1977967D" w:rsidR="009B56B7" w:rsidRDefault="005B016B" w:rsidP="00174D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50218" wp14:editId="35D7B3A3">
                <wp:simplePos x="0" y="0"/>
                <wp:positionH relativeFrom="column">
                  <wp:posOffset>13335</wp:posOffset>
                </wp:positionH>
                <wp:positionV relativeFrom="paragraph">
                  <wp:posOffset>179803</wp:posOffset>
                </wp:positionV>
                <wp:extent cx="6553200" cy="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156B1" id="Straight Connector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4.15pt" to="517.05pt,1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38129" wp14:editId="453EE8D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53200" cy="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EA184" id="Straight Connector 2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6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C1AA4BC" w14:textId="75E1D426" w:rsidR="00772B16" w:rsidRPr="00973DE5" w:rsidRDefault="009B56B7" w:rsidP="00B14825">
      <w:pPr>
        <w:jc w:val="center"/>
        <w:rPr>
          <w:b/>
          <w:sz w:val="32"/>
          <w:u w:val="single"/>
        </w:rPr>
      </w:pPr>
      <w:r w:rsidRPr="00973DE5">
        <w:rPr>
          <w:b/>
          <w:sz w:val="32"/>
          <w:u w:val="single"/>
        </w:rPr>
        <w:t>Buffer Size:</w:t>
      </w:r>
    </w:p>
    <w:p w14:paraId="22A74104" w14:textId="0FF1B1AD" w:rsidR="002507D9" w:rsidRDefault="00BE7793" w:rsidP="00174DD5">
      <w:pPr>
        <w:jc w:val="center"/>
        <w:rPr>
          <w:rFonts w:eastAsiaTheme="minorEastAsia"/>
          <w:b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39ED06" wp14:editId="3746DB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532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4BC4D" id="Straight Connector 2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6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42B2D5A2" w14:textId="4C5157A0" w:rsidR="00D665D7" w:rsidRPr="002507D9" w:rsidRDefault="002507D9" w:rsidP="00174DD5">
      <w:pPr>
        <w:jc w:val="center"/>
        <w:rPr>
          <w:b/>
          <w:sz w:val="32"/>
          <w:u w:val="single"/>
        </w:rPr>
      </w:pPr>
      <w:r>
        <w:rPr>
          <w:rFonts w:eastAsiaTheme="minorEastAsia"/>
          <w:b/>
          <w:sz w:val="32"/>
          <w:u w:val="single"/>
        </w:rPr>
        <w:t>Mean D and 95</w:t>
      </w:r>
      <w:r w:rsidRPr="006E3BE1">
        <w:rPr>
          <w:rFonts w:eastAsiaTheme="minorEastAsia"/>
          <w:b/>
          <w:sz w:val="32"/>
          <w:u w:val="single"/>
          <w:vertAlign w:val="superscript"/>
        </w:rPr>
        <w:t>th</w:t>
      </w:r>
      <w:r>
        <w:rPr>
          <w:rFonts w:eastAsiaTheme="minorEastAsia"/>
          <w:b/>
          <w:sz w:val="32"/>
          <w:u w:val="single"/>
        </w:rPr>
        <w:t xml:space="preserve"> Percentile of D </w:t>
      </w:r>
      <w:r w:rsidR="00377969">
        <w:rPr>
          <w:rFonts w:eastAsiaTheme="minorEastAsia"/>
          <w:b/>
          <w:sz w:val="32"/>
          <w:u w:val="single"/>
        </w:rPr>
        <w:t>for the Buffer Size</w:t>
      </w:r>
      <w:r>
        <w:rPr>
          <w:rFonts w:eastAsiaTheme="minorEastAsia"/>
          <w:b/>
          <w:sz w:val="32"/>
          <w:u w:val="single"/>
        </w:rPr>
        <w:t>:</w:t>
      </w:r>
    </w:p>
    <w:p w14:paraId="61BA7CD2" w14:textId="77777777" w:rsidR="00D665D7" w:rsidRDefault="00D665D7" w:rsidP="00174DD5">
      <w:pPr>
        <w:jc w:val="center"/>
      </w:pPr>
    </w:p>
    <w:tbl>
      <w:tblPr>
        <w:tblW w:w="10343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605"/>
        <w:gridCol w:w="1655"/>
        <w:gridCol w:w="1677"/>
        <w:gridCol w:w="1867"/>
        <w:gridCol w:w="1559"/>
      </w:tblGrid>
      <w:tr w:rsidR="00BE2F48" w:rsidRPr="00926583" w14:paraId="2D0B6B53" w14:textId="77777777" w:rsidTr="00BE2F48">
        <w:trPr>
          <w:trHeight w:val="320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ADB55" w14:textId="02A5E6D6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Buffer Data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D1FF4" w14:textId="3F85EDDA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Mean D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A28C3" w14:textId="0341120C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 of Mean Value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A9896" w14:textId="3571814E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95th Percentile</w:t>
            </w:r>
          </w:p>
        </w:tc>
        <w:tc>
          <w:tcPr>
            <w:tcW w:w="3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8E08D" w14:textId="1AC65E46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 of 95</w:t>
            </w:r>
            <w:r w:rsidRPr="00926583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th</w:t>
            </w: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 xml:space="preserve"> Percentile</w:t>
            </w:r>
          </w:p>
        </w:tc>
      </w:tr>
      <w:tr w:rsidR="00BE2F48" w:rsidRPr="00926583" w14:paraId="4E90EA80" w14:textId="77777777" w:rsidTr="00BE2F48">
        <w:trPr>
          <w:trHeight w:val="320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EF7F" w14:textId="0286A649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9594" w14:textId="3022BBA8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42AE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Confidence(+)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FDFB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Confidence(-)</w:t>
            </w:r>
          </w:p>
        </w:tc>
        <w:tc>
          <w:tcPr>
            <w:tcW w:w="16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47E6" w14:textId="2DBFE2EE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017E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Confidence(+)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2ECA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Confidence(-)</w:t>
            </w:r>
          </w:p>
        </w:tc>
      </w:tr>
      <w:tr w:rsidR="00BE2F48" w:rsidRPr="00724EDF" w14:paraId="6B99684B" w14:textId="77777777" w:rsidTr="00BE2F4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18BA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6472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75.73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5132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82.38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8E4F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69.08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2772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115.83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0379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143.4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2899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88.26</w:t>
            </w:r>
          </w:p>
        </w:tc>
      </w:tr>
      <w:tr w:rsidR="00BE2F48" w:rsidRPr="00724EDF" w14:paraId="40E89682" w14:textId="77777777" w:rsidTr="00BE2F4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090B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D851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73.92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75DD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80.39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8256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67.45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228A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125.1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1E75F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150.2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D5D0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BE2F48" w:rsidRPr="00724EDF" w14:paraId="062DBCCE" w14:textId="77777777" w:rsidTr="00BE2F4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2D311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04D9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D238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70.57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A2EE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54.43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7693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104.26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D7BF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133.67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74E7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74.85</w:t>
            </w:r>
          </w:p>
        </w:tc>
      </w:tr>
      <w:tr w:rsidR="00BE2F48" w:rsidRPr="00724EDF" w14:paraId="56E89009" w14:textId="77777777" w:rsidTr="00BE2F4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DA1E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7BFA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78.84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FFCF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91.5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87CE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66.18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E158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159.8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E261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202.39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955B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117.21</w:t>
            </w:r>
          </w:p>
        </w:tc>
      </w:tr>
      <w:tr w:rsidR="00BE2F48" w:rsidRPr="00724EDF" w14:paraId="7F641179" w14:textId="77777777" w:rsidTr="00BE2F4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8A27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CEAF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49.48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0B94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59.44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1E36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39.52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B13F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104.04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7723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142.8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2480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65.28</w:t>
            </w:r>
          </w:p>
        </w:tc>
      </w:tr>
      <w:tr w:rsidR="00BE2F48" w:rsidRPr="00724EDF" w14:paraId="722C6A63" w14:textId="77777777" w:rsidTr="00BE2F4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F3A08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0E1D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39.49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33C6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48.43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2E01C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30.55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8051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99.1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7DDD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132.37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6A58" w14:textId="77777777" w:rsidR="00724EDF" w:rsidRPr="00724EDF" w:rsidRDefault="00724EDF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24EDF">
              <w:rPr>
                <w:rFonts w:ascii="Calibri" w:eastAsia="Times New Roman" w:hAnsi="Calibri" w:cs="Times New Roman"/>
                <w:color w:val="000000"/>
              </w:rPr>
              <w:t>65.83</w:t>
            </w:r>
          </w:p>
        </w:tc>
      </w:tr>
    </w:tbl>
    <w:p w14:paraId="143979E5" w14:textId="77777777" w:rsidR="00A87C3A" w:rsidRDefault="00A87C3A" w:rsidP="00174DD5">
      <w:pPr>
        <w:jc w:val="center"/>
      </w:pPr>
    </w:p>
    <w:p w14:paraId="0EEEF436" w14:textId="77777777" w:rsidR="00724EDF" w:rsidRDefault="00724EDF" w:rsidP="00174DD5">
      <w:pPr>
        <w:jc w:val="center"/>
      </w:pPr>
    </w:p>
    <w:p w14:paraId="001B8520" w14:textId="6BE9A046" w:rsidR="00724EDF" w:rsidRDefault="00321C12" w:rsidP="00174DD5">
      <w:pPr>
        <w:jc w:val="center"/>
      </w:pPr>
      <w:r>
        <w:rPr>
          <w:noProof/>
        </w:rPr>
        <w:drawing>
          <wp:inline distT="0" distB="0" distL="0" distR="0" wp14:anchorId="7CB6978F" wp14:editId="64B05D48">
            <wp:extent cx="5575935" cy="2988994"/>
            <wp:effectExtent l="0" t="0" r="12065" b="825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713641" w14:textId="7BFDE851" w:rsidR="00501090" w:rsidRDefault="00D93ABE" w:rsidP="009404EE">
      <w:pPr>
        <w:jc w:val="both"/>
      </w:pPr>
      <w:r>
        <w:t>In the graph above, the Mean D value decrease gradually as the Buffer Size is increased which indicates the average delay time is inversely proportional to the Buffer Size</w:t>
      </w:r>
      <w:r w:rsidR="009404EE">
        <w:t>.</w:t>
      </w:r>
      <w:r w:rsidR="00143B41">
        <w:t xml:space="preserve"> The similar trend can be observed in the 95</w:t>
      </w:r>
      <w:r w:rsidR="00143B41" w:rsidRPr="00143B41">
        <w:rPr>
          <w:vertAlign w:val="superscript"/>
        </w:rPr>
        <w:t>th</w:t>
      </w:r>
      <w:r w:rsidR="00143B41">
        <w:t xml:space="preserve"> percentile graph of D with a sudden spike at Buffer Size = 8; this can be observed in the T value graph too.</w:t>
      </w:r>
    </w:p>
    <w:p w14:paraId="063B02CE" w14:textId="77777777" w:rsidR="00501090" w:rsidRDefault="00501090" w:rsidP="00174DD5">
      <w:pPr>
        <w:jc w:val="center"/>
      </w:pPr>
    </w:p>
    <w:p w14:paraId="20E74C3D" w14:textId="77777777" w:rsidR="00501090" w:rsidRDefault="00501090" w:rsidP="00174DD5">
      <w:pPr>
        <w:jc w:val="center"/>
      </w:pPr>
    </w:p>
    <w:p w14:paraId="64648ADD" w14:textId="7C87F93D" w:rsidR="00501090" w:rsidRDefault="009A076F" w:rsidP="00174DD5">
      <w:pPr>
        <w:jc w:val="center"/>
      </w:pPr>
      <w:r>
        <w:rPr>
          <w:noProof/>
        </w:rPr>
        <w:drawing>
          <wp:inline distT="0" distB="0" distL="0" distR="0" wp14:anchorId="0771867C" wp14:editId="2FBEDC70">
            <wp:extent cx="5575935" cy="3202940"/>
            <wp:effectExtent l="0" t="0" r="12065" b="2286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25C311A" w14:textId="77777777" w:rsidR="00163451" w:rsidRDefault="00163451" w:rsidP="00174DD5">
      <w:pPr>
        <w:jc w:val="center"/>
      </w:pPr>
    </w:p>
    <w:p w14:paraId="2BF3AC49" w14:textId="24B066E1" w:rsidR="00501090" w:rsidRDefault="00163451" w:rsidP="00174D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788F4" wp14:editId="04FDA97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53200" cy="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987D4" id="Straight Connector 2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6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348DBB2" w14:textId="5ED82B74" w:rsidR="00844513" w:rsidRPr="00B664C5" w:rsidRDefault="00844513" w:rsidP="00174DD5">
      <w:pPr>
        <w:jc w:val="center"/>
        <w:rPr>
          <w:b/>
          <w:sz w:val="32"/>
          <w:u w:val="single"/>
        </w:rPr>
      </w:pPr>
      <w:r>
        <w:rPr>
          <w:rFonts w:eastAsiaTheme="minorEastAsia"/>
          <w:b/>
          <w:sz w:val="32"/>
          <w:u w:val="single"/>
        </w:rPr>
        <w:t>Mean T</w:t>
      </w:r>
      <w:r>
        <w:rPr>
          <w:rFonts w:eastAsiaTheme="minorEastAsia"/>
          <w:b/>
          <w:sz w:val="32"/>
          <w:u w:val="single"/>
        </w:rPr>
        <w:t xml:space="preserve"> and 95</w:t>
      </w:r>
      <w:r w:rsidRPr="006E3BE1">
        <w:rPr>
          <w:rFonts w:eastAsiaTheme="minorEastAsia"/>
          <w:b/>
          <w:sz w:val="32"/>
          <w:u w:val="single"/>
          <w:vertAlign w:val="superscript"/>
        </w:rPr>
        <w:t>th</w:t>
      </w:r>
      <w:r>
        <w:rPr>
          <w:rFonts w:eastAsiaTheme="minorEastAsia"/>
          <w:b/>
          <w:sz w:val="32"/>
          <w:u w:val="single"/>
        </w:rPr>
        <w:t xml:space="preserve"> Percentile of T</w:t>
      </w:r>
      <w:r>
        <w:rPr>
          <w:rFonts w:eastAsiaTheme="minorEastAsia"/>
          <w:b/>
          <w:sz w:val="32"/>
          <w:u w:val="single"/>
        </w:rPr>
        <w:t xml:space="preserve"> for the </w:t>
      </w:r>
      <w:r>
        <w:rPr>
          <w:rFonts w:eastAsiaTheme="minorEastAsia"/>
          <w:b/>
          <w:sz w:val="32"/>
          <w:u w:val="single"/>
        </w:rPr>
        <w:t>Buffer Size</w:t>
      </w:r>
      <w:r>
        <w:rPr>
          <w:rFonts w:eastAsiaTheme="minorEastAsia"/>
          <w:b/>
          <w:sz w:val="32"/>
          <w:u w:val="single"/>
        </w:rPr>
        <w:t>:</w:t>
      </w:r>
    </w:p>
    <w:p w14:paraId="6D20F79B" w14:textId="77777777" w:rsidR="00844513" w:rsidRDefault="00844513" w:rsidP="00174DD5">
      <w:pPr>
        <w:jc w:val="center"/>
      </w:pPr>
    </w:p>
    <w:tbl>
      <w:tblPr>
        <w:tblW w:w="10161" w:type="dxa"/>
        <w:jc w:val="center"/>
        <w:tblLook w:val="04A0" w:firstRow="1" w:lastRow="0" w:firstColumn="1" w:lastColumn="0" w:noHBand="0" w:noVBand="1"/>
      </w:tblPr>
      <w:tblGrid>
        <w:gridCol w:w="838"/>
        <w:gridCol w:w="1056"/>
        <w:gridCol w:w="1605"/>
        <w:gridCol w:w="1636"/>
        <w:gridCol w:w="1713"/>
        <w:gridCol w:w="1689"/>
        <w:gridCol w:w="1661"/>
      </w:tblGrid>
      <w:tr w:rsidR="00407757" w:rsidRPr="00926583" w14:paraId="3251247A" w14:textId="77777777" w:rsidTr="00FA0849">
        <w:trPr>
          <w:trHeight w:val="320"/>
          <w:jc w:val="center"/>
        </w:trPr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C1013" w14:textId="775BCE2C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Buffer Data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16285" w14:textId="4016CCC0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Mean T</w:t>
            </w:r>
          </w:p>
        </w:tc>
        <w:tc>
          <w:tcPr>
            <w:tcW w:w="32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69D11" w14:textId="051DC88E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 of Mean Value</w:t>
            </w:r>
          </w:p>
        </w:tc>
        <w:tc>
          <w:tcPr>
            <w:tcW w:w="171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48232" w14:textId="6F5F89C5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95th Percentile</w:t>
            </w:r>
          </w:p>
        </w:tc>
        <w:tc>
          <w:tcPr>
            <w:tcW w:w="3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E6EE6" w14:textId="37F8EDE9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 of 95</w:t>
            </w:r>
            <w:r w:rsidRPr="00926583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th</w:t>
            </w: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 xml:space="preserve"> Percentile</w:t>
            </w:r>
          </w:p>
        </w:tc>
      </w:tr>
      <w:tr w:rsidR="00407757" w:rsidRPr="00926583" w14:paraId="3B7323EF" w14:textId="77777777" w:rsidTr="00AC69C6">
        <w:trPr>
          <w:trHeight w:val="320"/>
          <w:jc w:val="center"/>
        </w:trPr>
        <w:tc>
          <w:tcPr>
            <w:tcW w:w="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6542" w14:textId="373B41E5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0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8931" w14:textId="4E3771D5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EC26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Confidence(+)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555C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Confidence(-)</w:t>
            </w:r>
          </w:p>
        </w:tc>
        <w:tc>
          <w:tcPr>
            <w:tcW w:w="171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5EF2" w14:textId="5682B4D1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06B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Confidence(+)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DEEE" w14:textId="77777777" w:rsidR="00407757" w:rsidRPr="00926583" w:rsidRDefault="00407757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Confidence(-)</w:t>
            </w:r>
          </w:p>
        </w:tc>
      </w:tr>
      <w:tr w:rsidR="005274AC" w:rsidRPr="00E92013" w14:paraId="5143B556" w14:textId="77777777" w:rsidTr="00FC146C">
        <w:trPr>
          <w:trHeight w:val="320"/>
          <w:jc w:val="center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48A3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739F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66.4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995DE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72.34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5045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60.46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531D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99.37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56AD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123.52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0E34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75.22</w:t>
            </w:r>
          </w:p>
        </w:tc>
      </w:tr>
      <w:tr w:rsidR="005274AC" w:rsidRPr="00E92013" w14:paraId="65135A96" w14:textId="77777777" w:rsidTr="00FC146C">
        <w:trPr>
          <w:trHeight w:val="320"/>
          <w:jc w:val="center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72EB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7093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69.2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6AA8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74.56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6BCD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63.84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56DC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109.79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2964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129.65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9149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89.93</w:t>
            </w:r>
          </w:p>
        </w:tc>
      </w:tr>
      <w:tr w:rsidR="005274AC" w:rsidRPr="00E92013" w14:paraId="7C3DB1F0" w14:textId="77777777" w:rsidTr="00FC146C">
        <w:trPr>
          <w:trHeight w:val="320"/>
          <w:jc w:val="center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07C2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5A19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64.6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2289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69.74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B71D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59.46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B492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94.64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0122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42C0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75.28</w:t>
            </w:r>
          </w:p>
        </w:tc>
      </w:tr>
      <w:tr w:rsidR="005274AC" w:rsidRPr="00E92013" w14:paraId="21E340D7" w14:textId="77777777" w:rsidTr="00FC146C">
        <w:trPr>
          <w:trHeight w:val="320"/>
          <w:jc w:val="center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3D7F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40DF9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76.37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E552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85.16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48CA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67.58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4A98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152.27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D818F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183.97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2AB6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120.57</w:t>
            </w:r>
          </w:p>
        </w:tc>
      </w:tr>
      <w:tr w:rsidR="005274AC" w:rsidRPr="00E92013" w14:paraId="417A6BDF" w14:textId="77777777" w:rsidTr="00FC146C">
        <w:trPr>
          <w:trHeight w:val="320"/>
          <w:jc w:val="center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3ED7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8390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63.78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13C4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69.63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01A0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57.93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0C2E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94.2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E4E6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115.78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417E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72.62</w:t>
            </w:r>
          </w:p>
        </w:tc>
      </w:tr>
      <w:tr w:rsidR="005274AC" w:rsidRPr="00E92013" w14:paraId="24398093" w14:textId="77777777" w:rsidTr="00FC146C">
        <w:trPr>
          <w:trHeight w:val="320"/>
          <w:jc w:val="center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0F79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570A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69.47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22C7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75.67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607C9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63.27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552E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108.44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912B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124.83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CEBA" w14:textId="77777777" w:rsidR="00E92013" w:rsidRPr="00E92013" w:rsidRDefault="00E92013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013">
              <w:rPr>
                <w:rFonts w:ascii="Calibri" w:eastAsia="Times New Roman" w:hAnsi="Calibri" w:cs="Times New Roman"/>
                <w:color w:val="000000"/>
              </w:rPr>
              <w:t>92.05</w:t>
            </w:r>
          </w:p>
        </w:tc>
      </w:tr>
    </w:tbl>
    <w:p w14:paraId="07C7C4F8" w14:textId="6BDC29EA" w:rsidR="00E92013" w:rsidRDefault="00E92013" w:rsidP="004A79CA"/>
    <w:p w14:paraId="4E1BD6BD" w14:textId="15B8565C" w:rsidR="00E92013" w:rsidRDefault="00EE6312" w:rsidP="00174DD5">
      <w:pPr>
        <w:jc w:val="center"/>
      </w:pPr>
      <w:r>
        <w:rPr>
          <w:noProof/>
        </w:rPr>
        <w:drawing>
          <wp:inline distT="0" distB="0" distL="0" distR="0" wp14:anchorId="5BD5B474" wp14:editId="4294EB1A">
            <wp:extent cx="5693166" cy="2860040"/>
            <wp:effectExtent l="0" t="0" r="22225" b="1016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065AA1" w14:textId="77777777" w:rsidR="00E92013" w:rsidRDefault="00E92013" w:rsidP="003F2837">
      <w:pPr>
        <w:jc w:val="both"/>
      </w:pPr>
    </w:p>
    <w:p w14:paraId="6B3990D9" w14:textId="77777777" w:rsidR="003E7388" w:rsidRDefault="001860EE" w:rsidP="003F2837">
      <w:pPr>
        <w:jc w:val="both"/>
      </w:pPr>
      <w:r>
        <w:t>In the graph above, the Mean T value doesn’t vary much as the Buffer Size increases. This indicates the service time doesn’t get affected much when the buffer size is increased.</w:t>
      </w:r>
      <w:r w:rsidR="003F2837">
        <w:t xml:space="preserve"> </w:t>
      </w:r>
    </w:p>
    <w:p w14:paraId="58DAEE6A" w14:textId="77777777" w:rsidR="003E7388" w:rsidRDefault="003E7388" w:rsidP="003F2837">
      <w:pPr>
        <w:jc w:val="both"/>
      </w:pPr>
    </w:p>
    <w:p w14:paraId="2FCF8A3C" w14:textId="783054C7" w:rsidR="00E92013" w:rsidRDefault="003F2837" w:rsidP="003F2837">
      <w:pPr>
        <w:jc w:val="both"/>
      </w:pPr>
      <w:r>
        <w:t xml:space="preserve">The similar trend can be seen in the graph below which is for the </w:t>
      </w:r>
      <w:r w:rsidR="00991CBC">
        <w:t>95</w:t>
      </w:r>
      <w:r w:rsidR="00991CBC" w:rsidRPr="00991CBC">
        <w:rPr>
          <w:vertAlign w:val="superscript"/>
        </w:rPr>
        <w:t>th</w:t>
      </w:r>
      <w:r w:rsidR="003E7388">
        <w:t xml:space="preserve"> Percentile for the Graph. There is one observation noted in this case that the value increases around Buffer Size = 8; this was also visible in the Mean D graph for the Buffer Size variation</w:t>
      </w:r>
      <w:r w:rsidR="000823B8">
        <w:t>.</w:t>
      </w:r>
    </w:p>
    <w:p w14:paraId="2556DBCF" w14:textId="77777777" w:rsidR="00E92013" w:rsidRDefault="00E92013" w:rsidP="003E7388"/>
    <w:p w14:paraId="5E31ACDA" w14:textId="77777777" w:rsidR="00E92013" w:rsidRDefault="00E92013" w:rsidP="00174DD5">
      <w:pPr>
        <w:jc w:val="center"/>
      </w:pPr>
    </w:p>
    <w:p w14:paraId="32C12168" w14:textId="01E035E2" w:rsidR="00E92013" w:rsidRDefault="00EE6312" w:rsidP="00174DD5">
      <w:pPr>
        <w:jc w:val="center"/>
      </w:pPr>
      <w:r>
        <w:rPr>
          <w:noProof/>
        </w:rPr>
        <w:drawing>
          <wp:inline distT="0" distB="0" distL="0" distR="0" wp14:anchorId="117FDE1F" wp14:editId="2D36AB23">
            <wp:extent cx="5652135" cy="3202940"/>
            <wp:effectExtent l="0" t="0" r="12065" b="2286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B060EFF" w14:textId="77777777" w:rsidR="00163451" w:rsidRDefault="00163451" w:rsidP="00174DD5">
      <w:pPr>
        <w:jc w:val="center"/>
      </w:pPr>
    </w:p>
    <w:p w14:paraId="5A3794B8" w14:textId="75D45C41" w:rsidR="00E92013" w:rsidRDefault="00163451" w:rsidP="00174D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41116" wp14:editId="3E70735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53200" cy="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FE27D" id="Straight Connector 2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6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63D08108" w14:textId="0E8DAFAF" w:rsidR="007149F1" w:rsidRPr="00BB7D63" w:rsidRDefault="008D6CDA" w:rsidP="00174DD5">
      <w:pPr>
        <w:jc w:val="center"/>
        <w:rPr>
          <w:b/>
          <w:sz w:val="32"/>
          <w:u w:val="single"/>
        </w:rPr>
      </w:pPr>
      <w:r>
        <w:rPr>
          <w:rFonts w:eastAsiaTheme="minorEastAsia"/>
          <w:b/>
          <w:sz w:val="32"/>
          <w:u w:val="single"/>
        </w:rPr>
        <w:t>Mean P</w:t>
      </w:r>
      <w:r w:rsidR="007149F1">
        <w:rPr>
          <w:rFonts w:eastAsiaTheme="minorEastAsia"/>
          <w:b/>
          <w:sz w:val="32"/>
          <w:u w:val="single"/>
        </w:rPr>
        <w:t xml:space="preserve"> for the </w:t>
      </w:r>
      <w:r>
        <w:rPr>
          <w:rFonts w:eastAsiaTheme="minorEastAsia"/>
          <w:b/>
          <w:sz w:val="32"/>
          <w:u w:val="single"/>
        </w:rPr>
        <w:t>Buffer Size</w:t>
      </w:r>
      <w:r w:rsidR="007149F1">
        <w:rPr>
          <w:rFonts w:eastAsiaTheme="minorEastAsia"/>
          <w:b/>
          <w:sz w:val="32"/>
          <w:u w:val="single"/>
        </w:rPr>
        <w:t>:</w:t>
      </w:r>
    </w:p>
    <w:p w14:paraId="50F30E89" w14:textId="77777777" w:rsidR="007149F1" w:rsidRDefault="007149F1" w:rsidP="00174DD5">
      <w:pPr>
        <w:jc w:val="center"/>
      </w:pPr>
    </w:p>
    <w:tbl>
      <w:tblPr>
        <w:tblW w:w="6033" w:type="dxa"/>
        <w:jc w:val="center"/>
        <w:tblLook w:val="04A0" w:firstRow="1" w:lastRow="0" w:firstColumn="1" w:lastColumn="0" w:noHBand="0" w:noVBand="1"/>
      </w:tblPr>
      <w:tblGrid>
        <w:gridCol w:w="1555"/>
        <w:gridCol w:w="1129"/>
        <w:gridCol w:w="1605"/>
        <w:gridCol w:w="1766"/>
      </w:tblGrid>
      <w:tr w:rsidR="005B4C0D" w:rsidRPr="00926583" w14:paraId="7F2BDF41" w14:textId="77777777" w:rsidTr="00AC5DB2">
        <w:trPr>
          <w:trHeight w:val="4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EDFA" w14:textId="77777777" w:rsidR="005B4C0D" w:rsidRPr="00926583" w:rsidRDefault="005B4C0D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Buffer Data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6DDB" w14:textId="77777777" w:rsidR="005B4C0D" w:rsidRPr="00926583" w:rsidRDefault="005B4C0D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Mean P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42D4" w14:textId="77777777" w:rsidR="005B4C0D" w:rsidRPr="00926583" w:rsidRDefault="005B4C0D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Confidence(+)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7171" w14:textId="77777777" w:rsidR="005B4C0D" w:rsidRPr="00926583" w:rsidRDefault="005B4C0D" w:rsidP="00174DD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26583">
              <w:rPr>
                <w:rFonts w:ascii="Calibri" w:eastAsia="Times New Roman" w:hAnsi="Calibri" w:cs="Times New Roman"/>
                <w:b/>
                <w:color w:val="000000"/>
              </w:rPr>
              <w:t>Confidence(-)</w:t>
            </w:r>
          </w:p>
        </w:tc>
      </w:tr>
      <w:tr w:rsidR="005B4C0D" w:rsidRPr="005B4C0D" w14:paraId="6C3D2454" w14:textId="77777777" w:rsidTr="00AC5DB2">
        <w:trPr>
          <w:trHeight w:val="32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AD55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854B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18092.28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9246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18250.6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3D01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17933.96</w:t>
            </w:r>
          </w:p>
        </w:tc>
      </w:tr>
      <w:tr w:rsidR="005B4C0D" w:rsidRPr="005B4C0D" w14:paraId="54A269A4" w14:textId="77777777" w:rsidTr="00AC5DB2">
        <w:trPr>
          <w:trHeight w:val="32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A9F9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67E2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18069.54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2C4F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18227.54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A485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17911.54</w:t>
            </w:r>
          </w:p>
        </w:tc>
      </w:tr>
      <w:tr w:rsidR="005B4C0D" w:rsidRPr="005B4C0D" w14:paraId="099D5C59" w14:textId="77777777" w:rsidTr="00AC5DB2">
        <w:trPr>
          <w:trHeight w:val="32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A4FF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C479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18139.1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16EB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18310.82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21B8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17967.38</w:t>
            </w:r>
          </w:p>
        </w:tc>
      </w:tr>
      <w:tr w:rsidR="005B4C0D" w:rsidRPr="005B4C0D" w14:paraId="38D13490" w14:textId="77777777" w:rsidTr="00AC5DB2">
        <w:trPr>
          <w:trHeight w:val="32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8743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19BD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18076.14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4001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18241.29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1FC3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17910.99</w:t>
            </w:r>
          </w:p>
        </w:tc>
      </w:tr>
      <w:tr w:rsidR="005B4C0D" w:rsidRPr="005B4C0D" w14:paraId="1BCE4A30" w14:textId="77777777" w:rsidTr="00AC5DB2">
        <w:trPr>
          <w:trHeight w:val="32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3F0B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74D1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18127.95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5E61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18278.59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6ACF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17977.31</w:t>
            </w:r>
          </w:p>
        </w:tc>
      </w:tr>
      <w:tr w:rsidR="005B4C0D" w:rsidRPr="005B4C0D" w14:paraId="67A56CCC" w14:textId="77777777" w:rsidTr="00AC5DB2">
        <w:trPr>
          <w:trHeight w:val="32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D5C0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F713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17991.75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62F4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18168.08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F652" w14:textId="77777777" w:rsidR="005B4C0D" w:rsidRPr="005B4C0D" w:rsidRDefault="005B4C0D" w:rsidP="00174DD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C0D">
              <w:rPr>
                <w:rFonts w:ascii="Calibri" w:eastAsia="Times New Roman" w:hAnsi="Calibri" w:cs="Times New Roman"/>
                <w:color w:val="000000"/>
              </w:rPr>
              <w:t>17815.42</w:t>
            </w:r>
          </w:p>
        </w:tc>
      </w:tr>
    </w:tbl>
    <w:p w14:paraId="215142D1" w14:textId="77777777" w:rsidR="00E92013" w:rsidRDefault="00E92013" w:rsidP="00174DD5">
      <w:pPr>
        <w:jc w:val="center"/>
      </w:pPr>
    </w:p>
    <w:p w14:paraId="7882735F" w14:textId="39EA5DE9" w:rsidR="005B4C0D" w:rsidRDefault="00A15BF6" w:rsidP="00F71D56">
      <w:pPr>
        <w:jc w:val="both"/>
      </w:pPr>
      <w:r>
        <w:t xml:space="preserve">The </w:t>
      </w:r>
      <w:r w:rsidR="0060319D">
        <w:t xml:space="preserve">variation in mean P value is not much in the case of Buffer Size too which is similar to the P </w:t>
      </w:r>
      <w:r w:rsidR="001B6917">
        <w:t>Value</w:t>
      </w:r>
      <w:r w:rsidR="0060319D">
        <w:t xml:space="preserve"> Graph in Service time</w:t>
      </w:r>
      <w:r w:rsidR="00F45B13">
        <w:t xml:space="preserve"> which means </w:t>
      </w:r>
      <w:r w:rsidR="000408BB">
        <w:t>the total execution time doesn’t vary much with the change in buffer size but as we can see for Buffer Size = 12; the P value is l</w:t>
      </w:r>
      <w:r w:rsidR="00F548B1">
        <w:t>owest which could be due to larger buffer size and hence more devices in the queue.</w:t>
      </w:r>
    </w:p>
    <w:p w14:paraId="3F910990" w14:textId="14016136" w:rsidR="005B4C0D" w:rsidRDefault="00EE6312" w:rsidP="00174DD5">
      <w:pPr>
        <w:jc w:val="center"/>
      </w:pPr>
      <w:r>
        <w:rPr>
          <w:noProof/>
        </w:rPr>
        <w:drawing>
          <wp:inline distT="0" distB="0" distL="0" distR="0" wp14:anchorId="13FB1608" wp14:editId="6903837A">
            <wp:extent cx="5575935" cy="3909255"/>
            <wp:effectExtent l="0" t="0" r="12065" b="254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5B4C0D" w:rsidSect="00204644">
      <w:pgSz w:w="11900" w:h="16840"/>
      <w:pgMar w:top="720" w:right="720" w:bottom="720" w:left="72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D665F"/>
    <w:multiLevelType w:val="multilevel"/>
    <w:tmpl w:val="1D4E7918"/>
    <w:styleLink w:val="Style1"/>
    <w:lvl w:ilvl="0">
      <w:start w:val="1"/>
      <w:numFmt w:val="decimal"/>
      <w:lvlText w:val="Iteration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2D"/>
    <w:rsid w:val="000013A6"/>
    <w:rsid w:val="000408BB"/>
    <w:rsid w:val="000823B8"/>
    <w:rsid w:val="000F3264"/>
    <w:rsid w:val="00117C19"/>
    <w:rsid w:val="00117E40"/>
    <w:rsid w:val="00143B41"/>
    <w:rsid w:val="00146674"/>
    <w:rsid w:val="00163451"/>
    <w:rsid w:val="00174DD5"/>
    <w:rsid w:val="001860EE"/>
    <w:rsid w:val="00186DBA"/>
    <w:rsid w:val="00192A85"/>
    <w:rsid w:val="001A3DD9"/>
    <w:rsid w:val="001B6917"/>
    <w:rsid w:val="00204644"/>
    <w:rsid w:val="002148A3"/>
    <w:rsid w:val="002355DD"/>
    <w:rsid w:val="002507D9"/>
    <w:rsid w:val="00256533"/>
    <w:rsid w:val="00262DCA"/>
    <w:rsid w:val="002A39FE"/>
    <w:rsid w:val="002C293D"/>
    <w:rsid w:val="00321C12"/>
    <w:rsid w:val="00377969"/>
    <w:rsid w:val="003B07A3"/>
    <w:rsid w:val="003E7388"/>
    <w:rsid w:val="003F2837"/>
    <w:rsid w:val="00407757"/>
    <w:rsid w:val="00444B77"/>
    <w:rsid w:val="00451037"/>
    <w:rsid w:val="00487C8C"/>
    <w:rsid w:val="004A79CA"/>
    <w:rsid w:val="004B7D6D"/>
    <w:rsid w:val="004F4174"/>
    <w:rsid w:val="00501090"/>
    <w:rsid w:val="005152B9"/>
    <w:rsid w:val="005244E1"/>
    <w:rsid w:val="00526F4E"/>
    <w:rsid w:val="005274AC"/>
    <w:rsid w:val="00527AB0"/>
    <w:rsid w:val="00530044"/>
    <w:rsid w:val="005A651D"/>
    <w:rsid w:val="005B016B"/>
    <w:rsid w:val="005B4C0D"/>
    <w:rsid w:val="005F1219"/>
    <w:rsid w:val="0060319D"/>
    <w:rsid w:val="00643185"/>
    <w:rsid w:val="006569DB"/>
    <w:rsid w:val="006E3BE1"/>
    <w:rsid w:val="007123DF"/>
    <w:rsid w:val="007149F1"/>
    <w:rsid w:val="00724EDF"/>
    <w:rsid w:val="00731C51"/>
    <w:rsid w:val="00744DF0"/>
    <w:rsid w:val="00772B16"/>
    <w:rsid w:val="007842F7"/>
    <w:rsid w:val="00793105"/>
    <w:rsid w:val="007A20AB"/>
    <w:rsid w:val="007A51C2"/>
    <w:rsid w:val="007B33E6"/>
    <w:rsid w:val="007C11F1"/>
    <w:rsid w:val="0080342D"/>
    <w:rsid w:val="00814807"/>
    <w:rsid w:val="008369F8"/>
    <w:rsid w:val="00844513"/>
    <w:rsid w:val="008602B7"/>
    <w:rsid w:val="00872FCF"/>
    <w:rsid w:val="008D6CDA"/>
    <w:rsid w:val="0090541A"/>
    <w:rsid w:val="00926583"/>
    <w:rsid w:val="0093061A"/>
    <w:rsid w:val="00933C7A"/>
    <w:rsid w:val="009404EE"/>
    <w:rsid w:val="00973DE5"/>
    <w:rsid w:val="00991CBC"/>
    <w:rsid w:val="009A076F"/>
    <w:rsid w:val="009B56B7"/>
    <w:rsid w:val="009C190F"/>
    <w:rsid w:val="009E6315"/>
    <w:rsid w:val="009F3D33"/>
    <w:rsid w:val="00A03E72"/>
    <w:rsid w:val="00A15BF6"/>
    <w:rsid w:val="00A46787"/>
    <w:rsid w:val="00A5626B"/>
    <w:rsid w:val="00A87C3A"/>
    <w:rsid w:val="00AC5DB2"/>
    <w:rsid w:val="00B14825"/>
    <w:rsid w:val="00B24C9C"/>
    <w:rsid w:val="00B530C2"/>
    <w:rsid w:val="00B60FDB"/>
    <w:rsid w:val="00B664C5"/>
    <w:rsid w:val="00B76F51"/>
    <w:rsid w:val="00B86C60"/>
    <w:rsid w:val="00BB7D63"/>
    <w:rsid w:val="00BE2F48"/>
    <w:rsid w:val="00BE7793"/>
    <w:rsid w:val="00C55930"/>
    <w:rsid w:val="00C66B52"/>
    <w:rsid w:val="00C705A3"/>
    <w:rsid w:val="00CA55ED"/>
    <w:rsid w:val="00CC7890"/>
    <w:rsid w:val="00D665D7"/>
    <w:rsid w:val="00D93ABE"/>
    <w:rsid w:val="00D95A19"/>
    <w:rsid w:val="00DB0668"/>
    <w:rsid w:val="00DB18B4"/>
    <w:rsid w:val="00DD4017"/>
    <w:rsid w:val="00E03C74"/>
    <w:rsid w:val="00E233A1"/>
    <w:rsid w:val="00E32318"/>
    <w:rsid w:val="00E54F03"/>
    <w:rsid w:val="00E92013"/>
    <w:rsid w:val="00EB54E2"/>
    <w:rsid w:val="00EB5944"/>
    <w:rsid w:val="00EC5FBC"/>
    <w:rsid w:val="00EE6312"/>
    <w:rsid w:val="00F23F20"/>
    <w:rsid w:val="00F45B13"/>
    <w:rsid w:val="00F4644E"/>
    <w:rsid w:val="00F548B1"/>
    <w:rsid w:val="00F636A0"/>
    <w:rsid w:val="00F71D56"/>
    <w:rsid w:val="00F76A0D"/>
    <w:rsid w:val="00FA362E"/>
    <w:rsid w:val="00FC146C"/>
    <w:rsid w:val="00FD5368"/>
    <w:rsid w:val="00FE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08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4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A39F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ADITYA/data/NCState/iot/simulation/task3/serviceTaskNew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//Users/ADITYA/data/NCState/iot/simulation/task3/bufferTaskNew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ADITYA/data/NCState/iot/simulation/task3/serviceTaskNew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ADITYA/data/NCState/iot/simulation/task3/serviceTaskNew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ADITYA/data/NCState/iot/simulation/task3/serviceTaskNew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ADITYA/data/NCState/iot/simulation/task3/serviceTaskNew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ADITYA/data/NCState/iot/simulation/task3/bufferTaskNew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ADITYA/data/NCState/iot/simulation/task3/bufferTaskNew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ADITYA/data/NCState/iot/simulation/task3/bufferTaskNew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ADITYA/data/NCState/iot/simulation/task3/bufferTaskNew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r>
              <a:rPr lang="en-US" baseline="0"/>
              <a:t> D Graph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meanD!$B$1</c:f>
              <c:strCache>
                <c:ptCount val="1"/>
                <c:pt idx="0">
                  <c:v>Mean 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meanD!$A$2:$A$8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meanD!$B$2:$B$8</c:f>
              <c:numCache>
                <c:formatCode>General</c:formatCode>
                <c:ptCount val="7"/>
                <c:pt idx="0">
                  <c:v>18.81</c:v>
                </c:pt>
                <c:pt idx="1">
                  <c:v>24.17</c:v>
                </c:pt>
                <c:pt idx="2">
                  <c:v>29.29</c:v>
                </c:pt>
                <c:pt idx="3">
                  <c:v>38.27</c:v>
                </c:pt>
                <c:pt idx="4">
                  <c:v>52.32</c:v>
                </c:pt>
                <c:pt idx="5">
                  <c:v>74.19</c:v>
                </c:pt>
                <c:pt idx="6">
                  <c:v>128.18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meanD!$C$1</c:f>
              <c:strCache>
                <c:ptCount val="1"/>
                <c:pt idx="0">
                  <c:v>Confidence(+)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cat>
            <c:numRef>
              <c:f>meanD!$A$2:$A$8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meanD!$C$2:$C$8</c:f>
              <c:numCache>
                <c:formatCode>General</c:formatCode>
                <c:ptCount val="7"/>
                <c:pt idx="0">
                  <c:v>21.28</c:v>
                </c:pt>
                <c:pt idx="1">
                  <c:v>26.97</c:v>
                </c:pt>
                <c:pt idx="2">
                  <c:v>31.93</c:v>
                </c:pt>
                <c:pt idx="3">
                  <c:v>41.49</c:v>
                </c:pt>
                <c:pt idx="4">
                  <c:v>56.68</c:v>
                </c:pt>
                <c:pt idx="5">
                  <c:v>84.36</c:v>
                </c:pt>
                <c:pt idx="6">
                  <c:v>142.12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meanD!$D$1</c:f>
              <c:strCache>
                <c:ptCount val="1"/>
                <c:pt idx="0">
                  <c:v>Confidence(-)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prstDash val="dash"/>
              </a:ln>
              <a:effectLst/>
            </c:spPr>
          </c:marker>
          <c:cat>
            <c:numRef>
              <c:f>meanD!$A$2:$A$8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meanD!$D$2:$D$8</c:f>
              <c:numCache>
                <c:formatCode>General</c:formatCode>
                <c:ptCount val="7"/>
                <c:pt idx="0">
                  <c:v>16.34</c:v>
                </c:pt>
                <c:pt idx="1">
                  <c:v>21.37</c:v>
                </c:pt>
                <c:pt idx="2">
                  <c:v>26.65</c:v>
                </c:pt>
                <c:pt idx="3">
                  <c:v>35.05</c:v>
                </c:pt>
                <c:pt idx="4">
                  <c:v>47.96</c:v>
                </c:pt>
                <c:pt idx="5">
                  <c:v>64.02</c:v>
                </c:pt>
                <c:pt idx="6">
                  <c:v>114.24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8430464"/>
        <c:axId val="776309808"/>
      </c:lineChart>
      <c:catAx>
        <c:axId val="688430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309808"/>
        <c:crosses val="autoZero"/>
        <c:auto val="1"/>
        <c:lblAlgn val="ctr"/>
        <c:lblOffset val="100"/>
        <c:noMultiLvlLbl val="0"/>
      </c:catAx>
      <c:valAx>
        <c:axId val="77630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430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 P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meanP!$B$1</c:f>
              <c:strCache>
                <c:ptCount val="1"/>
                <c:pt idx="0">
                  <c:v>Mean 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meanP!$A$2:$A$7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meanP!$B$2:$B$7</c:f>
              <c:numCache>
                <c:formatCode>General</c:formatCode>
                <c:ptCount val="6"/>
                <c:pt idx="0">
                  <c:v>18092.28</c:v>
                </c:pt>
                <c:pt idx="1">
                  <c:v>18069.54</c:v>
                </c:pt>
                <c:pt idx="2">
                  <c:v>18139.1</c:v>
                </c:pt>
                <c:pt idx="3">
                  <c:v>18076.14</c:v>
                </c:pt>
                <c:pt idx="4">
                  <c:v>18127.95</c:v>
                </c:pt>
                <c:pt idx="5">
                  <c:v>17991.75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meanP!$C$1</c:f>
              <c:strCache>
                <c:ptCount val="1"/>
                <c:pt idx="0">
                  <c:v>Confidence(+)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cat>
            <c:numRef>
              <c:f>meanP!$A$2:$A$7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meanP!$C$2:$C$7</c:f>
              <c:numCache>
                <c:formatCode>General</c:formatCode>
                <c:ptCount val="6"/>
                <c:pt idx="0">
                  <c:v>18250.6</c:v>
                </c:pt>
                <c:pt idx="1">
                  <c:v>18227.54</c:v>
                </c:pt>
                <c:pt idx="2">
                  <c:v>18310.82</c:v>
                </c:pt>
                <c:pt idx="3">
                  <c:v>18241.29</c:v>
                </c:pt>
                <c:pt idx="4">
                  <c:v>18278.59</c:v>
                </c:pt>
                <c:pt idx="5">
                  <c:v>18168.08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meanP!$D$1</c:f>
              <c:strCache>
                <c:ptCount val="1"/>
                <c:pt idx="0">
                  <c:v>Confidence(-)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prstDash val="dash"/>
              </a:ln>
              <a:effectLst/>
            </c:spPr>
          </c:marker>
          <c:cat>
            <c:numRef>
              <c:f>meanP!$A$2:$A$7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meanP!$D$2:$D$7</c:f>
              <c:numCache>
                <c:formatCode>General</c:formatCode>
                <c:ptCount val="6"/>
                <c:pt idx="0">
                  <c:v>17933.96</c:v>
                </c:pt>
                <c:pt idx="1">
                  <c:v>17911.54</c:v>
                </c:pt>
                <c:pt idx="2">
                  <c:v>17967.38</c:v>
                </c:pt>
                <c:pt idx="3">
                  <c:v>17910.99</c:v>
                </c:pt>
                <c:pt idx="4">
                  <c:v>17977.31</c:v>
                </c:pt>
                <c:pt idx="5">
                  <c:v>17815.42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9122400"/>
        <c:axId val="738323552"/>
      </c:lineChart>
      <c:catAx>
        <c:axId val="739122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323552"/>
        <c:crosses val="autoZero"/>
        <c:auto val="1"/>
        <c:lblAlgn val="ctr"/>
        <c:lblOffset val="100"/>
        <c:tickLblSkip val="1"/>
        <c:noMultiLvlLbl val="0"/>
      </c:catAx>
      <c:valAx>
        <c:axId val="73832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12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95th Percentile Graph of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meanD!$E$1</c:f>
              <c:strCache>
                <c:ptCount val="1"/>
                <c:pt idx="0">
                  <c:v>95th Percentile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meanD!$A$2:$A$8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meanD!$E$2:$E$8</c:f>
              <c:numCache>
                <c:formatCode>General</c:formatCode>
                <c:ptCount val="7"/>
                <c:pt idx="0">
                  <c:v>35.91</c:v>
                </c:pt>
                <c:pt idx="1">
                  <c:v>35.57</c:v>
                </c:pt>
                <c:pt idx="2">
                  <c:v>43.89</c:v>
                </c:pt>
                <c:pt idx="3">
                  <c:v>60.11</c:v>
                </c:pt>
                <c:pt idx="4">
                  <c:v>79.95</c:v>
                </c:pt>
                <c:pt idx="5">
                  <c:v>160.41</c:v>
                </c:pt>
                <c:pt idx="6">
                  <c:v>221.82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meanD!$F$1</c:f>
              <c:strCache>
                <c:ptCount val="1"/>
                <c:pt idx="0">
                  <c:v>Confidence(+)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cat>
            <c:numRef>
              <c:f>meanD!$A$2:$A$8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meanD!$F$2:$F$8</c:f>
              <c:numCache>
                <c:formatCode>General</c:formatCode>
                <c:ptCount val="7"/>
                <c:pt idx="0">
                  <c:v>46.36</c:v>
                </c:pt>
                <c:pt idx="1">
                  <c:v>48.18</c:v>
                </c:pt>
                <c:pt idx="2">
                  <c:v>54.58</c:v>
                </c:pt>
                <c:pt idx="3">
                  <c:v>74.4</c:v>
                </c:pt>
                <c:pt idx="4">
                  <c:v>97.55</c:v>
                </c:pt>
                <c:pt idx="5">
                  <c:v>197.26</c:v>
                </c:pt>
                <c:pt idx="6">
                  <c:v>275.49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meanD!$G$1</c:f>
              <c:strCache>
                <c:ptCount val="1"/>
                <c:pt idx="0">
                  <c:v>Confidence(-)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prstDash val="dash"/>
              </a:ln>
              <a:effectLst/>
            </c:spPr>
          </c:marker>
          <c:cat>
            <c:numRef>
              <c:f>meanD!$A$2:$A$8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meanD!$G$2:$G$8</c:f>
              <c:numCache>
                <c:formatCode>General</c:formatCode>
                <c:ptCount val="7"/>
                <c:pt idx="0">
                  <c:v>25.46</c:v>
                </c:pt>
                <c:pt idx="1">
                  <c:v>22.96</c:v>
                </c:pt>
                <c:pt idx="2">
                  <c:v>33.2</c:v>
                </c:pt>
                <c:pt idx="3">
                  <c:v>45.82</c:v>
                </c:pt>
                <c:pt idx="4">
                  <c:v>62.35</c:v>
                </c:pt>
                <c:pt idx="5">
                  <c:v>123.56</c:v>
                </c:pt>
                <c:pt idx="6">
                  <c:v>168.15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1217920"/>
        <c:axId val="688743088"/>
      </c:lineChart>
      <c:catAx>
        <c:axId val="74121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743088"/>
        <c:crosses val="autoZero"/>
        <c:auto val="1"/>
        <c:lblAlgn val="ctr"/>
        <c:lblOffset val="100"/>
        <c:noMultiLvlLbl val="0"/>
      </c:catAx>
      <c:valAx>
        <c:axId val="68874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21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 T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meanT!$B$1</c:f>
              <c:strCache>
                <c:ptCount val="1"/>
                <c:pt idx="0">
                  <c:v>Mean 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meanT!$A$2:$A$8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meanT!$B$2:$B$8</c:f>
              <c:numCache>
                <c:formatCode>General</c:formatCode>
                <c:ptCount val="7"/>
                <c:pt idx="0">
                  <c:v>13.95</c:v>
                </c:pt>
                <c:pt idx="1">
                  <c:v>17.81</c:v>
                </c:pt>
                <c:pt idx="2">
                  <c:v>23.17</c:v>
                </c:pt>
                <c:pt idx="3">
                  <c:v>30.24</c:v>
                </c:pt>
                <c:pt idx="4">
                  <c:v>46.09</c:v>
                </c:pt>
                <c:pt idx="5">
                  <c:v>69.26</c:v>
                </c:pt>
                <c:pt idx="6">
                  <c:v>126.75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meanT!$C$1</c:f>
              <c:strCache>
                <c:ptCount val="1"/>
                <c:pt idx="0">
                  <c:v>Confidence(+)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cat>
            <c:numRef>
              <c:f>meanT!$A$2:$A$8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meanT!$C$2:$C$8</c:f>
              <c:numCache>
                <c:formatCode>General</c:formatCode>
                <c:ptCount val="7"/>
                <c:pt idx="0">
                  <c:v>14.26</c:v>
                </c:pt>
                <c:pt idx="1">
                  <c:v>18.37</c:v>
                </c:pt>
                <c:pt idx="2">
                  <c:v>24.04</c:v>
                </c:pt>
                <c:pt idx="3">
                  <c:v>31.45</c:v>
                </c:pt>
                <c:pt idx="4">
                  <c:v>48.56</c:v>
                </c:pt>
                <c:pt idx="5">
                  <c:v>77.33</c:v>
                </c:pt>
                <c:pt idx="6">
                  <c:v>138.83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meanT!$D$1</c:f>
              <c:strCache>
                <c:ptCount val="1"/>
                <c:pt idx="0">
                  <c:v>Confidence(-)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prstDash val="dash"/>
              </a:ln>
              <a:effectLst/>
            </c:spPr>
          </c:marker>
          <c:cat>
            <c:numRef>
              <c:f>meanT!$A$2:$A$8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meanT!$D$2:$D$8</c:f>
              <c:numCache>
                <c:formatCode>General</c:formatCode>
                <c:ptCount val="7"/>
                <c:pt idx="0">
                  <c:v>13.64</c:v>
                </c:pt>
                <c:pt idx="1">
                  <c:v>17.25</c:v>
                </c:pt>
                <c:pt idx="2">
                  <c:v>22.3</c:v>
                </c:pt>
                <c:pt idx="3">
                  <c:v>29.03</c:v>
                </c:pt>
                <c:pt idx="4">
                  <c:v>43.62</c:v>
                </c:pt>
                <c:pt idx="5">
                  <c:v>61.19</c:v>
                </c:pt>
                <c:pt idx="6">
                  <c:v>114.67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2848528"/>
        <c:axId val="693956096"/>
      </c:lineChart>
      <c:catAx>
        <c:axId val="74284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956096"/>
        <c:crosses val="autoZero"/>
        <c:auto val="1"/>
        <c:lblAlgn val="ctr"/>
        <c:lblOffset val="100"/>
        <c:noMultiLvlLbl val="0"/>
      </c:catAx>
      <c:valAx>
        <c:axId val="69395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84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95th Percentile Graph for 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meanT!$E$1</c:f>
              <c:strCache>
                <c:ptCount val="1"/>
                <c:pt idx="0">
                  <c:v>95th Percentile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meanT!$A$2:$A$8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meanT!$E$2:$E$8</c:f>
              <c:numCache>
                <c:formatCode>General</c:formatCode>
                <c:ptCount val="7"/>
                <c:pt idx="0">
                  <c:v>16.03</c:v>
                </c:pt>
                <c:pt idx="1">
                  <c:v>21.99</c:v>
                </c:pt>
                <c:pt idx="2">
                  <c:v>27.92</c:v>
                </c:pt>
                <c:pt idx="3">
                  <c:v>37.84</c:v>
                </c:pt>
                <c:pt idx="4">
                  <c:v>66.5</c:v>
                </c:pt>
                <c:pt idx="5">
                  <c:v>142.49</c:v>
                </c:pt>
                <c:pt idx="6">
                  <c:v>200.14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meanT!$F$1</c:f>
              <c:strCache>
                <c:ptCount val="1"/>
                <c:pt idx="0">
                  <c:v>Confidence(+)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cat>
            <c:numRef>
              <c:f>meanT!$A$2:$A$8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meanT!$F$2:$F$8</c:f>
              <c:numCache>
                <c:formatCode>General</c:formatCode>
                <c:ptCount val="7"/>
                <c:pt idx="0">
                  <c:v>17.28</c:v>
                </c:pt>
                <c:pt idx="1">
                  <c:v>23.82</c:v>
                </c:pt>
                <c:pt idx="2">
                  <c:v>30.29</c:v>
                </c:pt>
                <c:pt idx="3">
                  <c:v>42.0</c:v>
                </c:pt>
                <c:pt idx="4">
                  <c:v>76.02</c:v>
                </c:pt>
                <c:pt idx="5">
                  <c:v>173.71</c:v>
                </c:pt>
                <c:pt idx="6">
                  <c:v>243.86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meanT!$G$1</c:f>
              <c:strCache>
                <c:ptCount val="1"/>
                <c:pt idx="0">
                  <c:v>Confidence(-)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prstDash val="dash"/>
              </a:ln>
              <a:effectLst/>
            </c:spPr>
          </c:marker>
          <c:cat>
            <c:numRef>
              <c:f>meanT!$A$2:$A$8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meanT!$G$2:$G$8</c:f>
              <c:numCache>
                <c:formatCode>General</c:formatCode>
                <c:ptCount val="7"/>
                <c:pt idx="0">
                  <c:v>14.78</c:v>
                </c:pt>
                <c:pt idx="1">
                  <c:v>20.16</c:v>
                </c:pt>
                <c:pt idx="2">
                  <c:v>25.55</c:v>
                </c:pt>
                <c:pt idx="3">
                  <c:v>33.68</c:v>
                </c:pt>
                <c:pt idx="4">
                  <c:v>56.98</c:v>
                </c:pt>
                <c:pt idx="5">
                  <c:v>111.27</c:v>
                </c:pt>
                <c:pt idx="6">
                  <c:v>156.42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5494096"/>
        <c:axId val="695979408"/>
      </c:lineChart>
      <c:catAx>
        <c:axId val="77549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979408"/>
        <c:crosses val="autoZero"/>
        <c:auto val="1"/>
        <c:lblAlgn val="ctr"/>
        <c:lblOffset val="100"/>
        <c:noMultiLvlLbl val="0"/>
      </c:catAx>
      <c:valAx>
        <c:axId val="69597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49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 P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meanP!$B$1</c:f>
              <c:strCache>
                <c:ptCount val="1"/>
                <c:pt idx="0">
                  <c:v>Mean 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meanP!$A$2:$A$8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meanP!$B$2:$B$8</c:f>
              <c:numCache>
                <c:formatCode>General</c:formatCode>
                <c:ptCount val="7"/>
                <c:pt idx="0">
                  <c:v>18139.12</c:v>
                </c:pt>
                <c:pt idx="1">
                  <c:v>18131.78</c:v>
                </c:pt>
                <c:pt idx="2">
                  <c:v>18104.77</c:v>
                </c:pt>
                <c:pt idx="3">
                  <c:v>18180.1</c:v>
                </c:pt>
                <c:pt idx="4">
                  <c:v>18059.22</c:v>
                </c:pt>
                <c:pt idx="5">
                  <c:v>18147.86</c:v>
                </c:pt>
                <c:pt idx="6">
                  <c:v>18146.14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meanP!$C$1</c:f>
              <c:strCache>
                <c:ptCount val="1"/>
                <c:pt idx="0">
                  <c:v>Confidence(+)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cat>
            <c:numRef>
              <c:f>meanP!$A$2:$A$8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meanP!$C$2:$C$8</c:f>
              <c:numCache>
                <c:formatCode>General</c:formatCode>
                <c:ptCount val="7"/>
                <c:pt idx="0">
                  <c:v>18288.79</c:v>
                </c:pt>
                <c:pt idx="1">
                  <c:v>18306.56</c:v>
                </c:pt>
                <c:pt idx="2">
                  <c:v>18264.62</c:v>
                </c:pt>
                <c:pt idx="3">
                  <c:v>18329.47</c:v>
                </c:pt>
                <c:pt idx="4">
                  <c:v>18209.8</c:v>
                </c:pt>
                <c:pt idx="5">
                  <c:v>18324.32</c:v>
                </c:pt>
                <c:pt idx="6">
                  <c:v>18268.09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meanP!$D$1</c:f>
              <c:strCache>
                <c:ptCount val="1"/>
                <c:pt idx="0">
                  <c:v>Confidence(-)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prstDash val="dash"/>
              </a:ln>
              <a:effectLst/>
            </c:spPr>
          </c:marker>
          <c:cat>
            <c:numRef>
              <c:f>meanP!$A$2:$A$8</c:f>
              <c:numCache>
                <c:formatCode>General</c:formatCode>
                <c:ptCount val="7"/>
                <c:pt idx="0">
                  <c:v>11.0</c:v>
                </c:pt>
                <c:pt idx="1">
                  <c:v>12.0</c:v>
                </c:pt>
                <c:pt idx="2">
                  <c:v>13.0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17.0</c:v>
                </c:pt>
              </c:numCache>
            </c:numRef>
          </c:cat>
          <c:val>
            <c:numRef>
              <c:f>meanP!$D$2:$D$8</c:f>
              <c:numCache>
                <c:formatCode>General</c:formatCode>
                <c:ptCount val="7"/>
                <c:pt idx="0">
                  <c:v>17989.45</c:v>
                </c:pt>
                <c:pt idx="1">
                  <c:v>17957.0</c:v>
                </c:pt>
                <c:pt idx="2">
                  <c:v>17944.92</c:v>
                </c:pt>
                <c:pt idx="3">
                  <c:v>18030.73</c:v>
                </c:pt>
                <c:pt idx="4">
                  <c:v>17908.64</c:v>
                </c:pt>
                <c:pt idx="5">
                  <c:v>17971.4</c:v>
                </c:pt>
                <c:pt idx="6">
                  <c:v>18024.19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4386736"/>
        <c:axId val="742178720"/>
      </c:lineChart>
      <c:catAx>
        <c:axId val="77438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178720"/>
        <c:crosses val="autoZero"/>
        <c:auto val="1"/>
        <c:lblAlgn val="ctr"/>
        <c:lblOffset val="100"/>
        <c:noMultiLvlLbl val="0"/>
      </c:catAx>
      <c:valAx>
        <c:axId val="74217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38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 D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meanD_conf!$B$1</c:f>
              <c:strCache>
                <c:ptCount val="1"/>
                <c:pt idx="0">
                  <c:v>Mean 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meanD_conf!$A$2:$A$7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meanD_conf!$B$2:$B$7</c:f>
              <c:numCache>
                <c:formatCode>General</c:formatCode>
                <c:ptCount val="6"/>
                <c:pt idx="0">
                  <c:v>75.73</c:v>
                </c:pt>
                <c:pt idx="1">
                  <c:v>73.92</c:v>
                </c:pt>
                <c:pt idx="2">
                  <c:v>62.5</c:v>
                </c:pt>
                <c:pt idx="3">
                  <c:v>78.84</c:v>
                </c:pt>
                <c:pt idx="4">
                  <c:v>49.48</c:v>
                </c:pt>
                <c:pt idx="5">
                  <c:v>39.49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meanD_conf!$C$1</c:f>
              <c:strCache>
                <c:ptCount val="1"/>
                <c:pt idx="0">
                  <c:v>Confidence(+)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cat>
            <c:numRef>
              <c:f>meanD_conf!$A$2:$A$7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meanD_conf!$C$2:$C$7</c:f>
              <c:numCache>
                <c:formatCode>General</c:formatCode>
                <c:ptCount val="6"/>
                <c:pt idx="0">
                  <c:v>82.38</c:v>
                </c:pt>
                <c:pt idx="1">
                  <c:v>80.39</c:v>
                </c:pt>
                <c:pt idx="2">
                  <c:v>70.57</c:v>
                </c:pt>
                <c:pt idx="3">
                  <c:v>91.5</c:v>
                </c:pt>
                <c:pt idx="4">
                  <c:v>59.44</c:v>
                </c:pt>
                <c:pt idx="5">
                  <c:v>48.43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meanD_conf!$D$1</c:f>
              <c:strCache>
                <c:ptCount val="1"/>
                <c:pt idx="0">
                  <c:v>Confidence(-)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prstDash val="dash"/>
              </a:ln>
              <a:effectLst/>
            </c:spPr>
          </c:marker>
          <c:cat>
            <c:numRef>
              <c:f>meanD_conf!$A$2:$A$7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meanD_conf!$D$2:$D$7</c:f>
              <c:numCache>
                <c:formatCode>General</c:formatCode>
                <c:ptCount val="6"/>
                <c:pt idx="0">
                  <c:v>69.08</c:v>
                </c:pt>
                <c:pt idx="1">
                  <c:v>67.45</c:v>
                </c:pt>
                <c:pt idx="2">
                  <c:v>54.43</c:v>
                </c:pt>
                <c:pt idx="3">
                  <c:v>66.18000000000001</c:v>
                </c:pt>
                <c:pt idx="4">
                  <c:v>39.52</c:v>
                </c:pt>
                <c:pt idx="5">
                  <c:v>30.55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5865536"/>
        <c:axId val="822685072"/>
      </c:lineChart>
      <c:catAx>
        <c:axId val="69586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685072"/>
        <c:crosses val="autoZero"/>
        <c:auto val="1"/>
        <c:lblAlgn val="ctr"/>
        <c:lblOffset val="100"/>
        <c:noMultiLvlLbl val="0"/>
      </c:catAx>
      <c:valAx>
        <c:axId val="8226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86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95th</a:t>
            </a:r>
            <a:r>
              <a:rPr lang="en-US" baseline="0"/>
              <a:t> Percentile Graph for 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meanD_conf!$E$1</c:f>
              <c:strCache>
                <c:ptCount val="1"/>
                <c:pt idx="0">
                  <c:v>95th Percentile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meanD_conf!$A$2:$A$7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meanD_conf!$E$2:$E$7</c:f>
              <c:numCache>
                <c:formatCode>General</c:formatCode>
                <c:ptCount val="6"/>
                <c:pt idx="0">
                  <c:v>115.83</c:v>
                </c:pt>
                <c:pt idx="1">
                  <c:v>125.1</c:v>
                </c:pt>
                <c:pt idx="2">
                  <c:v>104.26</c:v>
                </c:pt>
                <c:pt idx="3">
                  <c:v>159.8</c:v>
                </c:pt>
                <c:pt idx="4">
                  <c:v>104.04</c:v>
                </c:pt>
                <c:pt idx="5">
                  <c:v>99.1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meanD_conf!$F$1</c:f>
              <c:strCache>
                <c:ptCount val="1"/>
                <c:pt idx="0">
                  <c:v>Confidence(+)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cat>
            <c:numRef>
              <c:f>meanD_conf!$A$2:$A$7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meanD_conf!$F$2:$F$7</c:f>
              <c:numCache>
                <c:formatCode>General</c:formatCode>
                <c:ptCount val="6"/>
                <c:pt idx="0">
                  <c:v>143.4</c:v>
                </c:pt>
                <c:pt idx="1">
                  <c:v>150.2</c:v>
                </c:pt>
                <c:pt idx="2">
                  <c:v>133.67</c:v>
                </c:pt>
                <c:pt idx="3">
                  <c:v>202.39</c:v>
                </c:pt>
                <c:pt idx="4">
                  <c:v>142.8</c:v>
                </c:pt>
                <c:pt idx="5">
                  <c:v>132.37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meanD_conf!$G$1</c:f>
              <c:strCache>
                <c:ptCount val="1"/>
                <c:pt idx="0">
                  <c:v>Confidence(-)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prstDash val="dash"/>
              </a:ln>
              <a:effectLst/>
            </c:spPr>
          </c:marker>
          <c:cat>
            <c:numRef>
              <c:f>meanD_conf!$A$2:$A$7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meanD_conf!$G$2:$G$7</c:f>
              <c:numCache>
                <c:formatCode>General</c:formatCode>
                <c:ptCount val="6"/>
                <c:pt idx="0">
                  <c:v>88.26</c:v>
                </c:pt>
                <c:pt idx="1">
                  <c:v>100.0</c:v>
                </c:pt>
                <c:pt idx="2">
                  <c:v>74.85</c:v>
                </c:pt>
                <c:pt idx="3">
                  <c:v>117.21</c:v>
                </c:pt>
                <c:pt idx="4">
                  <c:v>65.28</c:v>
                </c:pt>
                <c:pt idx="5">
                  <c:v>65.83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9397280"/>
        <c:axId val="695981104"/>
      </c:lineChart>
      <c:catAx>
        <c:axId val="77939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981104"/>
        <c:crosses val="autoZero"/>
        <c:auto val="1"/>
        <c:lblAlgn val="ctr"/>
        <c:lblOffset val="100"/>
        <c:noMultiLvlLbl val="0"/>
      </c:catAx>
      <c:valAx>
        <c:axId val="69598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939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r>
              <a:rPr lang="en-US" baseline="0"/>
              <a:t> T Graph</a:t>
            </a:r>
            <a:endParaRPr lang="en-US"/>
          </a:p>
        </c:rich>
      </c:tx>
      <c:layout>
        <c:manualLayout>
          <c:xMode val="edge"/>
          <c:yMode val="edge"/>
          <c:x val="0.436112706499923"/>
          <c:y val="0.0295857988165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meanT_conf!$B$1</c:f>
              <c:strCache>
                <c:ptCount val="1"/>
                <c:pt idx="0">
                  <c:v>Mean 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meanT_conf!$A$2:$A$7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meanT_conf!$B$2:$B$7</c:f>
              <c:numCache>
                <c:formatCode>General</c:formatCode>
                <c:ptCount val="6"/>
                <c:pt idx="0">
                  <c:v>66.4</c:v>
                </c:pt>
                <c:pt idx="1">
                  <c:v>69.2</c:v>
                </c:pt>
                <c:pt idx="2">
                  <c:v>64.6</c:v>
                </c:pt>
                <c:pt idx="3">
                  <c:v>76.37</c:v>
                </c:pt>
                <c:pt idx="4">
                  <c:v>63.78</c:v>
                </c:pt>
                <c:pt idx="5">
                  <c:v>69.47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meanT_conf!$C$1</c:f>
              <c:strCache>
                <c:ptCount val="1"/>
                <c:pt idx="0">
                  <c:v>Confidence(+)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cat>
            <c:numRef>
              <c:f>meanT_conf!$A$2:$A$7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meanT_conf!$C$2:$C$7</c:f>
              <c:numCache>
                <c:formatCode>General</c:formatCode>
                <c:ptCount val="6"/>
                <c:pt idx="0">
                  <c:v>72.34</c:v>
                </c:pt>
                <c:pt idx="1">
                  <c:v>74.56</c:v>
                </c:pt>
                <c:pt idx="2">
                  <c:v>69.74</c:v>
                </c:pt>
                <c:pt idx="3">
                  <c:v>85.16</c:v>
                </c:pt>
                <c:pt idx="4">
                  <c:v>69.63</c:v>
                </c:pt>
                <c:pt idx="5">
                  <c:v>75.66999999999998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meanT_conf!$D$1</c:f>
              <c:strCache>
                <c:ptCount val="1"/>
                <c:pt idx="0">
                  <c:v>Confidence(-)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prstDash val="dash"/>
              </a:ln>
              <a:effectLst/>
            </c:spPr>
          </c:marker>
          <c:cat>
            <c:numRef>
              <c:f>meanT_conf!$A$2:$A$7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meanT_conf!$D$2:$D$7</c:f>
              <c:numCache>
                <c:formatCode>General</c:formatCode>
                <c:ptCount val="6"/>
                <c:pt idx="0">
                  <c:v>60.46</c:v>
                </c:pt>
                <c:pt idx="1">
                  <c:v>63.84</c:v>
                </c:pt>
                <c:pt idx="2">
                  <c:v>59.46</c:v>
                </c:pt>
                <c:pt idx="3">
                  <c:v>67.58</c:v>
                </c:pt>
                <c:pt idx="4">
                  <c:v>57.93</c:v>
                </c:pt>
                <c:pt idx="5">
                  <c:v>63.27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5403168"/>
        <c:axId val="780027328"/>
      </c:lineChart>
      <c:catAx>
        <c:axId val="695403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027328"/>
        <c:crosses val="autoZero"/>
        <c:auto val="1"/>
        <c:lblAlgn val="ctr"/>
        <c:lblOffset val="100"/>
        <c:noMultiLvlLbl val="0"/>
      </c:catAx>
      <c:valAx>
        <c:axId val="78002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403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95th</a:t>
            </a:r>
            <a:r>
              <a:rPr lang="en-US" baseline="0"/>
              <a:t> Percentile Graph for 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meanT_conf!$E$1</c:f>
              <c:strCache>
                <c:ptCount val="1"/>
                <c:pt idx="0">
                  <c:v>95th Percentile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meanT_conf!$A$2:$A$7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meanT_conf!$E$2:$E$7</c:f>
              <c:numCache>
                <c:formatCode>General</c:formatCode>
                <c:ptCount val="6"/>
                <c:pt idx="0">
                  <c:v>99.37</c:v>
                </c:pt>
                <c:pt idx="1">
                  <c:v>109.79</c:v>
                </c:pt>
                <c:pt idx="2">
                  <c:v>94.64</c:v>
                </c:pt>
                <c:pt idx="3">
                  <c:v>152.27</c:v>
                </c:pt>
                <c:pt idx="4">
                  <c:v>94.2</c:v>
                </c:pt>
                <c:pt idx="5">
                  <c:v>108.44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meanT_conf!$F$1</c:f>
              <c:strCache>
                <c:ptCount val="1"/>
                <c:pt idx="0">
                  <c:v>Confidence(+)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cat>
            <c:numRef>
              <c:f>meanT_conf!$A$2:$A$7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meanT_conf!$F$2:$F$7</c:f>
              <c:numCache>
                <c:formatCode>General</c:formatCode>
                <c:ptCount val="6"/>
                <c:pt idx="0">
                  <c:v>123.52</c:v>
                </c:pt>
                <c:pt idx="1">
                  <c:v>129.65</c:v>
                </c:pt>
                <c:pt idx="2">
                  <c:v>114.0</c:v>
                </c:pt>
                <c:pt idx="3">
                  <c:v>183.97</c:v>
                </c:pt>
                <c:pt idx="4">
                  <c:v>115.78</c:v>
                </c:pt>
                <c:pt idx="5">
                  <c:v>124.83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meanT_conf!$G$1</c:f>
              <c:strCache>
                <c:ptCount val="1"/>
                <c:pt idx="0">
                  <c:v>Confidence(-)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prstDash val="dash"/>
              </a:ln>
              <a:effectLst/>
            </c:spPr>
          </c:marker>
          <c:cat>
            <c:numRef>
              <c:f>meanT_conf!$A$2:$A$7</c:f>
              <c:numCache>
                <c:formatCode>General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6.0</c:v>
                </c:pt>
                <c:pt idx="3">
                  <c:v>8.0</c:v>
                </c:pt>
                <c:pt idx="4">
                  <c:v>10.0</c:v>
                </c:pt>
                <c:pt idx="5">
                  <c:v>12.0</c:v>
                </c:pt>
              </c:numCache>
            </c:numRef>
          </c:cat>
          <c:val>
            <c:numRef>
              <c:f>meanT_conf!$G$2:$G$7</c:f>
              <c:numCache>
                <c:formatCode>General</c:formatCode>
                <c:ptCount val="6"/>
                <c:pt idx="0">
                  <c:v>75.22</c:v>
                </c:pt>
                <c:pt idx="1">
                  <c:v>89.93</c:v>
                </c:pt>
                <c:pt idx="2">
                  <c:v>75.28</c:v>
                </c:pt>
                <c:pt idx="3">
                  <c:v>120.57</c:v>
                </c:pt>
                <c:pt idx="4">
                  <c:v>72.62</c:v>
                </c:pt>
                <c:pt idx="5">
                  <c:v>92.05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8957488"/>
        <c:axId val="738383392"/>
      </c:lineChart>
      <c:catAx>
        <c:axId val="73895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383392"/>
        <c:crosses val="autoZero"/>
        <c:auto val="1"/>
        <c:lblAlgn val="ctr"/>
        <c:lblOffset val="100"/>
        <c:noMultiLvlLbl val="0"/>
      </c:catAx>
      <c:valAx>
        <c:axId val="73838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95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763</Words>
  <Characters>4350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Aditya Bhardwaj</cp:lastModifiedBy>
  <cp:revision>114</cp:revision>
  <dcterms:created xsi:type="dcterms:W3CDTF">2017-09-24T04:41:00Z</dcterms:created>
  <dcterms:modified xsi:type="dcterms:W3CDTF">2017-09-24T21:32:00Z</dcterms:modified>
</cp:coreProperties>
</file>