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姓名：陳建忠　部門：品質工程部二課（千附精密）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題目：022｜CMM結果研判助手（022）</w:t>
      </w:r>
    </w:p>
    <w:p>
      <w:r>
        <w:t>1. CMM 量測輸出的真實匯出格式為何（PC-DMIS、Calypso 或其他）？特性編號與量測項目的欄位命名固定嗎？</w:t>
      </w:r>
    </w:p>
    <w:p>
      <w:r>
        <w:t>回答：</w:t>
      </w:r>
    </w:p>
    <w:p>
      <w:r>
        <w:t>2. 各料號的圖面規格／SIP 公差主檔目前存在哪裡？能否整理成以料號為鍵的對照表供 Agent 查詢？</w:t>
      </w:r>
    </w:p>
    <w:p>
      <w:r>
        <w:t>回答：</w:t>
      </w:r>
    </w:p>
    <w:p>
      <w:r>
        <w:t>3. KC（關鍵特性）在圖面/SIP 上如何標記？有沒有幾何公差符號需要對應說明？</w:t>
      </w:r>
    </w:p>
    <w:p>
      <w:r>
        <w:t>回答：</w:t>
      </w:r>
    </w:p>
    <w:p>
      <w:r>
        <w:t>4. 量測值超差（OOT）時的處置邏輯與通報門檻是什麼（讓步 MRB／重工／報廢）？</w:t>
      </w:r>
    </w:p>
    <w:p>
      <w:r>
        <w:t>回答：</w:t>
      </w:r>
    </w:p>
    <w:p>
      <w:r>
        <w:t>5. 漢翔／ASML／台積等不同客戶對 KC 與 OOT 是否有特殊規定要分別處理？</w:t>
      </w:r>
    </w:p>
    <w:p>
      <w:r>
        <w:t>回答：</w:t>
      </w:r>
    </w:p>
    <w:p/>
    <w:p>
      <w:pPr>
        <w:pStyle w:val="Heading1"/>
      </w:pPr>
      <w:r>
        <w:t>題目：023｜QI異常研判助手（023）</w:t>
      </w:r>
    </w:p>
    <w:p>
      <w:r>
        <w:t>1. QI 流程的正式單據欄位有哪些？能否提供幾份去識別化的 Outlook 往來典型樣本？</w:t>
      </w:r>
    </w:p>
    <w:p>
      <w:r>
        <w:t>回答：</w:t>
      </w:r>
    </w:p>
    <w:p>
      <w:r>
        <w:t>2. 公司內部異常原因是否有分類碼（材料／加工／量測／圖面…）？能否提供歷史 QI 案例庫供初判參考？</w:t>
      </w:r>
    </w:p>
    <w:p>
      <w:r>
        <w:t>回答：</w:t>
      </w:r>
    </w:p>
    <w:p>
      <w:r>
        <w:t>3. 各料號的圖面規格／SIP／檢驗標準存放在哪，能否作為異常判讀基準供 Agent 查詢？</w:t>
      </w:r>
    </w:p>
    <w:p>
      <w:r>
        <w:t>回答：</w:t>
      </w:r>
    </w:p>
    <w:p>
      <w:r>
        <w:t>4. 處置決策準則（讓步接收 MRB／重工／報廢）與各情況的通報對象是誰？</w:t>
      </w:r>
    </w:p>
    <w:p>
      <w:r>
        <w:t>回答：</w:t>
      </w:r>
    </w:p>
    <w:p>
      <w:r>
        <w:t>5. 研判草稿要初判到什麼程度就交人？哪些結論絕對不能由 AI 下？</w:t>
      </w:r>
    </w:p>
    <w:p>
      <w:r>
        <w:t>回答：</w:t>
      </w:r>
    </w:p>
    <w:p/>
    <w:p>
      <w:pPr>
        <w:pStyle w:val="Heading1"/>
      </w:pPr>
      <w:r>
        <w:t>題目：024｜QDR處理助手（024）</w:t>
      </w:r>
    </w:p>
    <w:p>
      <w:r>
        <w:t>1. QDR 表單各階段的正式欄位定義與審查要點在電子簽核系統（博格簽核）如何規範？能否提供文件？</w:t>
      </w:r>
    </w:p>
    <w:p>
      <w:r>
        <w:t>回答：</w:t>
      </w:r>
    </w:p>
    <w:p>
      <w:r>
        <w:t>2. 能否提供數份完整 QDR 案例（含良好與待改進範例，去識別化）供校準一致性檢核？</w:t>
      </w:r>
    </w:p>
    <w:p>
      <w:r>
        <w:t>回答：</w:t>
      </w:r>
    </w:p>
    <w:p>
      <w:r>
        <w:t>3. 公司內 8D／魚骨／5Why 的填寫慣例是什麼？根本原因要寫到什麼深度才算齊備？</w:t>
      </w:r>
    </w:p>
    <w:p>
      <w:r>
        <w:t>回答：</w:t>
      </w:r>
    </w:p>
    <w:p>
      <w:r>
        <w:t>4. 各階段哪些欄位必填、哪些選填？放行門檻與權責人員是誰？</w:t>
      </w:r>
    </w:p>
    <w:p>
      <w:r>
        <w:t>回答：</w:t>
      </w:r>
    </w:p>
    <w:p>
      <w:r>
        <w:t>5. 跨階段一致性要檢核到什麼程度（例：對策是否對應根因、驗證是否對應對策）？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線上完整設計（系統提示詞、知識庫、驗測情境）：https://g.intellicon.tw/cf/jm/u/u006.html　通關密語：egenthub</w:t>
      </w:r>
    </w:p>
    <w:p>
      <w:r>
        <w:t>填好請放回您的部門資料夾：Q:\11043-AI秘書\千附精密\114431_陳建忠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