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姓名：王嘉駿　部門：業務部業務二課（千附精密）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題目：209｜成本營收差異分析助手（209）</w:t>
      </w:r>
    </w:p>
    <w:p>
      <w:r>
        <w:t>1. 會計提供的差異資料固定欄位為何？含哪幾類差異（成本、營收、毛利）？</w:t>
      </w:r>
    </w:p>
    <w:p>
      <w:r>
        <w:t>回答：</w:t>
      </w:r>
    </w:p>
    <w:p>
      <w:r>
        <w:t>2. 基準是預算還是前期？差異率的計算口徑請確認。</w:t>
      </w:r>
    </w:p>
    <w:p>
      <w:r>
        <w:t>回答：</w:t>
      </w:r>
    </w:p>
    <w:p>
      <w:r>
        <w:t>3. 常見差異原因有哪些分類？價差/量差/匯差/客戶結構/一次性費用是否涵蓋？</w:t>
      </w:r>
    </w:p>
    <w:p>
      <w:r>
        <w:t>回答：</w:t>
      </w:r>
    </w:p>
    <w:p>
      <w:r>
        <w:t>4. 回覆Email的收件、CC對象與慣用格式為何？</w:t>
      </w:r>
    </w:p>
    <w:p>
      <w:r>
        <w:t>回答：</w:t>
      </w:r>
    </w:p>
    <w:p>
      <w:r>
        <w:t>5. 哪些差異屬『重大』需特別說明（金額或差異率門檻）？</w:t>
      </w:r>
    </w:p>
    <w:p>
      <w:r>
        <w:t>回答：</w:t>
      </w:r>
    </w:p>
    <w:p>
      <w:r>
        <w:t>6. 原因說明是否一律標『待業務確認』，避免AI武斷下結論？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線上完整設計（系統提示詞、知識庫、驗測情境）：https://g.intellicon.tw/cf/jm/u/u034.html　通關密語：egenthub</w:t>
      </w:r>
    </w:p>
    <w:p>
      <w:r>
        <w:t>填好請放回您的部門資料夾：Q:\11043-AI秘書\千附精密\146210_王嘉駿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