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姓名：李家榆　部門：倉管課二組（千附精密）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題目：092｜物料編號核對助手（092）</w:t>
      </w:r>
    </w:p>
    <w:p>
      <w:r>
        <w:t>1. 物料編號核對主要是「單據 vs 清單」的字串比對，還是也要核對實物標籤上的料號（需人工輔助）？</w:t>
      </w:r>
    </w:p>
    <w:p>
      <w:r>
        <w:t>回答：</w:t>
      </w:r>
    </w:p>
    <w:p>
      <w:r>
        <w:t>2. 千附料號的命名規則是什麼？前綴、站別碼、後綴各代表什麼，哪些差異算「同料號不同版本」？</w:t>
      </w:r>
    </w:p>
    <w:p>
      <w:r>
        <w:t>回答：</w:t>
      </w:r>
    </w:p>
    <w:p>
      <w:r>
        <w:t>3. 料號不符與數量差異，異常通知信要分開寄，還是彙整成一封？固定收件對象是誰？</w:t>
      </w:r>
    </w:p>
    <w:p>
      <w:r>
        <w:t>回答：</w:t>
      </w:r>
    </w:p>
    <w:p>
      <w:r>
        <w:t>4. 生管的 Excel 欄位格式是否固定？會不會有合併儲存格或多分頁需要先攤平？</w:t>
      </w:r>
    </w:p>
    <w:p>
      <w:r>
        <w:t>回答：</w:t>
      </w:r>
    </w:p>
    <w:p>
      <w:r>
        <w:t>5. SAP 查詢畫面通常以截圖提供還是能匯出？若截圖，欄位是否清晰可辨識？</w:t>
      </w:r>
    </w:p>
    <w:p>
      <w:r>
        <w:t>回答：</w:t>
      </w:r>
    </w:p>
    <w:p>
      <w:r>
        <w:t>6. 品名不一致但料號相同時，要視為異常還是以料號為準？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線上完整設計（系統提示詞、知識庫、驗測情境）：https://g.intellicon.tw/cf/jm/u/u059.html　通關密語：egenthub</w:t>
      </w:r>
    </w:p>
    <w:p>
      <w:r>
        <w:t>填好請放回您的部門資料夾：Q:\11043-AI秘書\千附精密\126011_李家榆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