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姓名：郭棋琳　部門：供應商品保課（千附精密）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題目：116｜CO重工分析報表助手（116）</w:t>
      </w:r>
    </w:p>
    <w:p>
      <w:r>
        <w:t>1. 生管每週發送的 CO 重工率報表，實際欄位有哪些？各生產處與製程／機種的分類名稱請提供一份對照。</w:t>
      </w:r>
    </w:p>
    <w:p>
      <w:r>
        <w:t>回答：</w:t>
      </w:r>
    </w:p>
    <w:p>
      <w:r>
        <w:t>2. 重工率的計算口徑是「重工量÷投產量」嗎？投產量的認定（是否含在製、退料）請確認。</w:t>
      </w:r>
    </w:p>
    <w:p>
      <w:r>
        <w:t>回答：</w:t>
      </w:r>
    </w:p>
    <w:p>
      <w:r>
        <w:t>3. 重工率「偏高」的門檻是多少（幾 % 算高）？是與上週比、與目標比、還是固定門檻？</w:t>
      </w:r>
    </w:p>
    <w:p>
      <w:r>
        <w:t>回答：</w:t>
      </w:r>
    </w:p>
    <w:p>
      <w:r>
        <w:t>4. 重工原因是否有標準分類清單？希望 Agent 把自由填寫的原因歸類到哪些類別？</w:t>
      </w:r>
    </w:p>
    <w:p>
      <w:r>
        <w:t>回答：</w:t>
      </w:r>
    </w:p>
    <w:p>
      <w:r>
        <w:t>5. 現行 CO 重工（週）分析報表的版型與必填欄位是什麼？請提供一份去識別化的範例。</w:t>
      </w:r>
    </w:p>
    <w:p>
      <w:r>
        <w:t>回答：</w:t>
      </w:r>
    </w:p>
    <w:p>
      <w:r>
        <w:t>6. 重點摘要希望聚焦哪些面向（重工率排名、原因分布、與上週變化）？摘要幾點為宜？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線上完整設計（系統提示詞、知識庫、驗測情境）：https://g.intellicon.tw/cf/jm/u/u070.html　通關密語：egenthub</w:t>
      </w:r>
    </w:p>
    <w:p>
      <w:r>
        <w:t>填好請放回您的部門資料夾：Q:\11043-AI秘書\千附精密\131900_郭棋琳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