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姓名：白晨琳　部門：供應商品保課（千附精密）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題目：250｜QDR分析報告助手（250）</w:t>
      </w:r>
    </w:p>
    <w:p>
      <w:r>
        <w:t>1. QDR 肇因單位有哪些標準分類？各分類的判定依據（要看哪些事證）請提供準則。</w:t>
      </w:r>
    </w:p>
    <w:p>
      <w:r>
        <w:t>回答：</w:t>
      </w:r>
    </w:p>
    <w:p>
      <w:r>
        <w:t>2. 電子簽核系統報表查詢的實際欄位有哪些？能否提供一份去識別化的匯出檔？</w:t>
      </w:r>
    </w:p>
    <w:p>
      <w:r>
        <w:t>回答：</w:t>
      </w:r>
    </w:p>
    <w:p>
      <w:r>
        <w:t>3. 能否提供 10～20 筆過往已判定肇因的 QDR 案例，作為 AI 學習與驗測比對範例？</w:t>
      </w:r>
    </w:p>
    <w:p>
      <w:r>
        <w:t>回答：</w:t>
      </w:r>
    </w:p>
    <w:p>
      <w:r>
        <w:t>4. 什麼情況下應直接標「需人工判定」（如跨單位爭議、事證不足）？請界定分工邊界。</w:t>
      </w:r>
    </w:p>
    <w:p>
      <w:r>
        <w:t>回答：</w:t>
      </w:r>
    </w:p>
    <w:p>
      <w:r>
        <w:t>5. QDR 分析表的版型與檢討會要看的重點欄位是什麼？</w:t>
      </w:r>
    </w:p>
    <w:p>
      <w:r>
        <w:t>回答：</w:t>
      </w:r>
    </w:p>
    <w:p>
      <w:r>
        <w:t>6. 肇因判定的覆核流程為何（AI 初判→誰確認→送主管）？希望 Agent 停在哪一步？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線上完整設計（系統提示詞、知識庫、驗測情境）：https://g.intellicon.tw/cf/jm/u/u071.html　通關密語：egenthub</w:t>
      </w:r>
    </w:p>
    <w:p>
      <w:r>
        <w:t>填好請放回您的部門資料夾：Q:\11043-AI秘書\千附精密\149350_白晨琳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