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姓名：李湘棋　部門：會計部(北區)（千附實業）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題目：007｜工程開案變更核對助手（007）</w:t>
      </w:r>
    </w:p>
    <w:p>
      <w:r>
        <w:t>1. 會計端『未結工程主檔』實際有哪些欄位？工號編碼規則為何？能提供一份匯出檔嗎？</w:t>
      </w:r>
    </w:p>
    <w:p>
      <w:r>
        <w:t>回答：</w:t>
      </w:r>
    </w:p>
    <w:p>
      <w:r>
        <w:t>2. 工程開案單與變更單在單據上如何區分（標題、單別代號）？各能提供數份 PDF 樣本嗎？</w:t>
      </w:r>
    </w:p>
    <w:p>
      <w:r>
        <w:t>回答：</w:t>
      </w:r>
    </w:p>
    <w:p>
      <w:r>
        <w:t>3. 比對的金額口徑是含稅還未稅？變更金額比對的是單次變更還是累計變更？</w:t>
      </w:r>
    </w:p>
    <w:p>
      <w:r>
        <w:t>回答：</w:t>
      </w:r>
    </w:p>
    <w:p>
      <w:r>
        <w:t>4. 『累計變更金額』在主檔如何維護？變更單金額如何累加對應？</w:t>
      </w:r>
    </w:p>
    <w:p>
      <w:r>
        <w:t>回答：</w:t>
      </w:r>
    </w:p>
    <w:p>
      <w:r>
        <w:t>5. EIP『未結工程報表』的欄位格式為何？希望輸出能直接套用嗎？</w:t>
      </w:r>
    </w:p>
    <w:p>
      <w:r>
        <w:t>回答：</w:t>
      </w:r>
    </w:p>
    <w:p>
      <w:r>
        <w:t>6. 查出差異（主檔未建／金額不符）後，處理流程是誰接手？認列權責在哪？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線上完整設計（系統提示詞、知識庫、驗測情境）：https://g.intellicon.tw/cf/sh/u/u004.html　通關密語：egenthub</w:t>
      </w:r>
    </w:p>
    <w:p>
      <w:r>
        <w:t>填好請放回您的部門資料夾：Q:\11043-AI秘書\千附實業\106240_李湘棋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