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千附 AI 導入｜需求補充問卷</w:t>
      </w:r>
    </w:p>
    <w:p>
      <w:r>
        <w:rPr>
          <w:b/>
        </w:rPr>
        <w:t>姓名：江玟儀　部門：廠工採購課（千附實業）</w:t>
      </w:r>
    </w:p>
    <w:p>
      <w:r>
        <w:t>請針對每個題目，把答案填在「回答：」後面（越具體越好）；填好後請放回您的部門資料夾即可，不需回信。</w:t>
      </w:r>
    </w:p>
    <w:p>
      <w:pPr>
        <w:pStyle w:val="Heading1"/>
      </w:pPr>
      <w:r>
        <w:t>題目：170｜比價議價助手（170）</w:t>
      </w:r>
    </w:p>
    <w:p>
      <w:r>
        <w:t>1. 品項規格與歷史採購價／目標價主檔可否向採購索取？</w:t>
      </w:r>
    </w:p>
    <w:p>
      <w:r>
        <w:t>回答：</w:t>
      </w:r>
    </w:p>
    <w:p>
      <w:r>
        <w:t>2. 報價單常見格式樣本（各廠商版面不同）能否提供，供辨識測試？</w:t>
      </w:r>
    </w:p>
    <w:p>
      <w:r>
        <w:t>回答：</w:t>
      </w:r>
    </w:p>
    <w:p>
      <w:r>
        <w:t>3. 議價紀錄表（博格）的實際欄位與簽核流程為何？</w:t>
      </w:r>
    </w:p>
    <w:p>
      <w:r>
        <w:t>回答：</w:t>
      </w:r>
    </w:p>
    <w:p>
      <w:r>
        <w:t>4. 規格對齊規則為何（同義規格、單位換算）以避免錯誤比價？</w:t>
      </w:r>
    </w:p>
    <w:p>
      <w:r>
        <w:t>回答：</w:t>
      </w:r>
    </w:p>
    <w:p>
      <w:r>
        <w:t>5. 異常價判定門檻為何（偏離歷史價多少 % 須示警）？</w:t>
      </w:r>
    </w:p>
    <w:p>
      <w:r>
        <w:t>回答：</w:t>
      </w:r>
    </w:p>
    <w:p>
      <w:r>
        <w:t>6. 選定最低價後的議價與送簽由誰負責？</w:t>
      </w:r>
    </w:p>
    <w:p>
      <w:r>
        <w:t>回答：</w:t>
      </w:r>
    </w:p>
    <w:p/>
    <w:p>
      <w:pPr>
        <w:pStyle w:val="Heading1"/>
      </w:pPr>
      <w:r>
        <w:t>題目：171｜採購週報彙整助手（171）</w:t>
      </w:r>
    </w:p>
    <w:p>
      <w:r>
        <w:t>1. 四張 SAP 報表（YMM010A、ZMMR007、ZMMR008、ZMMR050）的實際欄位定義與真正用途為何？（最重要，範例為推估）</w:t>
      </w:r>
    </w:p>
    <w:p>
      <w:r>
        <w:t>回答：</w:t>
      </w:r>
    </w:p>
    <w:p>
      <w:r>
        <w:t>2. 各報表匯出方式為何？能各提供一份去識別化樣本嗎？</w:t>
      </w:r>
    </w:p>
    <w:p>
      <w:r>
        <w:t>回答：</w:t>
      </w:r>
    </w:p>
    <w:p>
      <w:r>
        <w:t>3. 『已請未採／已採未交』的公司正式判定口徑為何？</w:t>
      </w:r>
    </w:p>
    <w:p>
      <w:r>
        <w:t>回答：</w:t>
      </w:r>
    </w:p>
    <w:p>
      <w:r>
        <w:t>4. 既有週報（N:\...\03週報\2026週會）的版型與彙總欄位為何？</w:t>
      </w:r>
    </w:p>
    <w:p>
      <w:r>
        <w:t>回答：</w:t>
      </w:r>
    </w:p>
    <w:p>
      <w:r>
        <w:t>5. 逾期計算的基準日以週會日還是當日？</w:t>
      </w:r>
    </w:p>
    <w:p>
      <w:r>
        <w:t>回答：</w:t>
      </w:r>
    </w:p>
    <w:p>
      <w:r>
        <w:t>6. 週報定稿後由誰存週會資料夾？</w:t>
      </w:r>
    </w:p>
    <w:p>
      <w:r>
        <w:t>回答：</w:t>
      </w:r>
    </w:p>
    <w:p/>
    <w:p>
      <w:pPr>
        <w:pStyle w:val="Heading1"/>
      </w:pPr>
      <w:r>
        <w:t>補充說明</w:t>
      </w:r>
    </w:p>
    <w:p>
      <w:r>
        <w:t>線上完整設計（系統提示詞、知識庫、驗測情境）：https://g.intellicon.tw/cf/sh/u/u009.html　通關密語：egenthub</w:t>
      </w:r>
    </w:p>
    <w:p>
      <w:r>
        <w:t>填好請放回您的部門資料夾：Q:\11043-AI秘書\千附實業\142590_江玟儀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