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姓名：彭鈞渟　部門：北區事業部設計課（千附實業）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題目：273｜管路材料估算助手（273）</w:t>
      </w:r>
    </w:p>
    <w:p>
      <w:r>
        <w:t>1. 本題主體是繪圖(dwg)/轉PDF，可否確認只切出『對圖估算統計管路材料 takeoff 彙整』子任務，繪圖與判讀由設計師負責？</w:t>
      </w:r>
    </w:p>
    <w:p>
      <w:r>
        <w:t>回答：</w:t>
      </w:r>
    </w:p>
    <w:p>
      <w:r>
        <w:t>2. 管路材料／料號對照表與常用管件清單、單位在哪裡？</w:t>
      </w:r>
    </w:p>
    <w:p>
      <w:r>
        <w:t>回答：</w:t>
      </w:r>
    </w:p>
    <w:p>
      <w:r>
        <w:t>3. 設計師判讀後的標準管段管件整理格式（管徑、材質、長度、各管件數量）為何？</w:t>
      </w:r>
    </w:p>
    <w:p>
      <w:r>
        <w:t>回答：</w:t>
      </w:r>
    </w:p>
    <w:p>
      <w:r>
        <w:t>4. takeoff 估算規則（管材以長度、管件以數量、輔材估算方式）是什麼？</w:t>
      </w:r>
    </w:p>
    <w:p>
      <w:r>
        <w:t>回答：</w:t>
      </w:r>
    </w:p>
    <w:p>
      <w:r>
        <w:t>5. 日後若要嘗試從圖面自動判讀，手繪／第三方圖面品質與標註一致性如何？</w:t>
      </w:r>
    </w:p>
    <w:p>
      <w:r>
        <w:t>回答：</w:t>
      </w:r>
    </w:p>
    <w:p>
      <w:r>
        <w:t>6. 料號對應規則（管徑×材質→料號）與無對應料號時的處理方式？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線上完整設計（系統提示詞、知識庫、驗測情境）：https://g.intellicon.tw/cf/sh/u/u058.html　通關密語：egenthub</w:t>
      </w:r>
    </w:p>
    <w:p>
      <w:r>
        <w:t>填好請放回您的部門資料夾：Q:\11043-AI秘書\千附實業\150450_彭鈞渟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