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姓名：林金隆　部門：航太生產部製一課（千附精密）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題目：236｜稼動率分析助手（236）</w:t>
      </w:r>
    </w:p>
    <w:p>
      <w:r>
        <w:t>1. ERP 機台稼動資料能否定期匯出 CSV？中期是否評估由 IT 透過 MCP／Function Call 介接 ERP？</w:t>
      </w:r>
    </w:p>
    <w:p>
      <w:r>
        <w:t>回答：</w:t>
      </w:r>
    </w:p>
    <w:p>
      <w:r>
        <w:t>2. 稼動率口徑如何定義（運轉工時／可用工時如何認定）？目標門檻是多少？</w:t>
      </w:r>
    </w:p>
    <w:p>
      <w:r>
        <w:t>回答：</w:t>
      </w:r>
    </w:p>
    <w:p>
      <w:r>
        <w:t>3. 低稼動主因有哪些標準分類？停機／異常紀錄的欄位格式為何（讓 AI 歸納一致）？</w:t>
      </w:r>
    </w:p>
    <w:p>
      <w:r>
        <w:t>回答：</w:t>
      </w:r>
    </w:p>
    <w:p>
      <w:r>
        <w:t>4. 生管每週寄的 ERP 生產數據，實際欄位有哪些？能否提供一份去識別化範例？</w:t>
      </w:r>
    </w:p>
    <w:p>
      <w:r>
        <w:t>回答：</w:t>
      </w:r>
    </w:p>
    <w:p>
      <w:r>
        <w:t>5. 現行稼動率核對大表的版型與必填欄位是什麼？</w:t>
      </w:r>
    </w:p>
    <w:p>
      <w:r>
        <w:t>回答：</w:t>
      </w:r>
    </w:p>
    <w:p>
      <w:r>
        <w:t>6. 停機紀錄空白或無主因時，希望 Agent 如何標示（主因待確認），不臆斷主因，對嗎？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線上完整設計（系統提示詞、知識庫、驗測情境）：https://g.intellicon.tw/cf/jm/u/u075.html　通關密語：egenthub</w:t>
      </w:r>
    </w:p>
    <w:p>
      <w:r>
        <w:t>填好請放回您的部門資料夾：Q:\11043-AI秘書\千附精密\148910_林金隆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