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姓名：池妙齡　部門：管理部（千附實業）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題目：001｜快遞申請單登錄助手（001）</w:t>
      </w:r>
    </w:p>
    <w:p>
      <w:r>
        <w:t>1. EIP『快遞申請單』實際有哪些欄位？哪些是必填、哪些選填？可否提供一張表單截圖或欄位說明？</w:t>
      </w:r>
    </w:p>
    <w:p>
      <w:r>
        <w:t>回答：</w:t>
      </w:r>
    </w:p>
    <w:p>
      <w:r>
        <w:t>2. 『收件單位／據點代號對照表』目前是誰在維護？能否提供現行完整清單（各分公司、廠區、常往來廠商的標準名稱與代號）？</w:t>
      </w:r>
    </w:p>
    <w:p>
      <w:r>
        <w:t>回答：</w:t>
      </w:r>
    </w:p>
    <w:p>
      <w:r>
        <w:t>3. 付款方式（寄付／到付／月結）如何判斷？託運單上若未印運費，實務上怎麼處理？</w:t>
      </w:r>
    </w:p>
    <w:p>
      <w:r>
        <w:t>回答：</w:t>
      </w:r>
    </w:p>
    <w:p>
      <w:r>
        <w:t>4. 託運單目前是紙本存根，數位化打算走哪一種？(a) 改線上表單 (b) 定期掃描成 PDF/圖片 (c) 導入 OCR 批次辨識？</w:t>
      </w:r>
    </w:p>
    <w:p>
      <w:r>
        <w:t>回答：</w:t>
      </w:r>
    </w:p>
    <w:p>
      <w:r>
        <w:t>5. 手寫或模糊的託運單佔比高嗎？能提供 5～10 張去識別化樣本涵蓋不同快遞公司版面嗎？</w:t>
      </w:r>
    </w:p>
    <w:p>
      <w:r>
        <w:t>回答：</w:t>
      </w:r>
    </w:p>
    <w:p>
      <w:r>
        <w:t>6. 登錄完的快遞申請單，送簽對象與流程是誰？AI 只出草稿到哪個階段交回人工？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線上完整設計（系統提示詞、知識庫、驗測情境）：https://g.intellicon.tw/cf/sh/u/u001.html　通關密語：egenthub</w:t>
      </w:r>
    </w:p>
    <w:p>
      <w:r>
        <w:t>填好請放回您的部門資料夾：Q:\11043-AI秘書\千附實業\101131_池妙齡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