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姓名：（未填填答人）　部門：廠工採購部（千附實業）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題目：178｜工程專案報表彙整助手（178）</w:t>
      </w:r>
    </w:p>
    <w:p>
      <w:r>
        <w:t>1. SAP 採單／收料／請款匯出的實際欄位名稱有哪些？是否每筆都含專案編號、單位與幣別？</w:t>
      </w:r>
    </w:p>
    <w:p>
      <w:r>
        <w:t>回答：</w:t>
      </w:r>
    </w:p>
    <w:p>
      <w:r>
        <w:t>2. 「異常」判定門檻：金額差異多少需標紅？逾期幾天算逾期未請款？部分到料容許誤差範圍？</w:t>
      </w:r>
    </w:p>
    <w:p>
      <w:r>
        <w:t>回答：</w:t>
      </w:r>
    </w:p>
    <w:p>
      <w:r>
        <w:t>3. 勾稽的權威基準在哪裡？合約單價／核定預算是存 SAP 還是另有合約主檔？料號對照表由誰維護？</w:t>
      </w:r>
    </w:p>
    <w:p>
      <w:r>
        <w:t>回答：</w:t>
      </w:r>
    </w:p>
    <w:p>
      <w:r>
        <w:t>4. 工程專案管理報表的實際版型、必填欄位、分頁邏輯與合計規則為何？</w:t>
      </w:r>
    </w:p>
    <w:p>
      <w:r>
        <w:t>回答：</w:t>
      </w:r>
    </w:p>
    <w:p>
      <w:r>
        <w:t>5. 週報的固定主旨格式、收發對象、N 槽存放路徑與命名規則？</w:t>
      </w:r>
    </w:p>
    <w:p>
      <w:r>
        <w:t>回答：</w:t>
      </w:r>
    </w:p>
    <w:p>
      <w:r>
        <w:t>6. 此題合併多位同仁描述，最終是產出「一份大表」還是「多份大表」？欄位是否一致？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線上完整設計（系統提示詞、知識庫、驗測情境）：https://g.intellicon.tw/cf/sh/u/u011.html　通關密語：egenthub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