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姓名：陳柏融　部門：資訊部（千附實業）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題目：149｜毛利評估彙整助手（149）</w:t>
      </w:r>
    </w:p>
    <w:p>
      <w:r>
        <w:t>1. 工時、人力成本、合約收入在 ERP／PLM／EIP 的實際欄位與匯出方式？能否取得或需 IT 介接？</w:t>
      </w:r>
    </w:p>
    <w:p>
      <w:r>
        <w:t>回答：</w:t>
      </w:r>
    </w:p>
    <w:p>
      <w:r>
        <w:t>2. 人力成本率／成本標準由誰維護、多久更新？含哪些分攤（薪資、勞健保、管銷）？</w:t>
      </w:r>
    </w:p>
    <w:p>
      <w:r>
        <w:t>回答：</w:t>
      </w:r>
    </w:p>
    <w:p>
      <w:r>
        <w:t>3. 毛利的定義與計算口徑：是否含管銷？是否分階段認列收入？</w:t>
      </w:r>
    </w:p>
    <w:p>
      <w:r>
        <w:t>回答：</w:t>
      </w:r>
    </w:p>
    <w:p>
      <w:r>
        <w:t>4. 評估結果上「網頁」的形式是內部 EIP 頁面嗎？需要哪些欄位與簽核？</w:t>
      </w:r>
    </w:p>
    <w:p>
      <w:r>
        <w:t>回答：</w:t>
      </w:r>
    </w:p>
    <w:p>
      <w:r>
        <w:t>5. 過往毛利評估報告的範本、慣用語氣與收發對象？</w:t>
      </w:r>
    </w:p>
    <w:p>
      <w:r>
        <w:t>回答：</w:t>
      </w:r>
    </w:p>
    <w:p>
      <w:r>
        <w:t>6. 毛利率如何定義（毛利／收入 vs 毛利／成本）？低於多少需示警？</w:t>
      </w:r>
    </w:p>
    <w:p>
      <w:r>
        <w:t>回答：</w:t>
      </w:r>
    </w:p>
    <w:p/>
    <w:p>
      <w:pPr>
        <w:pStyle w:val="Heading1"/>
      </w:pPr>
      <w:r>
        <w:t>題目：150｜報工統計助手（150）</w:t>
      </w:r>
    </w:p>
    <w:p>
      <w:r>
        <w:t>1. ERP／EIP 報工資料的實際欄位與匯出方式為何？</w:t>
      </w:r>
    </w:p>
    <w:p>
      <w:r>
        <w:t>回答：</w:t>
      </w:r>
    </w:p>
    <w:p>
      <w:r>
        <w:t>2. 工單／工序主檔的權威來源是哪個系統？哪些工序視為有效？</w:t>
      </w:r>
    </w:p>
    <w:p>
      <w:r>
        <w:t>回答：</w:t>
      </w:r>
    </w:p>
    <w:p>
      <w:r>
        <w:t>3. 報工合理性規則：單日工時上限、跨專案分攤規則、可否跨日補報？</w:t>
      </w:r>
    </w:p>
    <w:p>
      <w:r>
        <w:t>回答：</w:t>
      </w:r>
    </w:p>
    <w:p>
      <w:r>
        <w:t>4. 報工結果上「網頁」的目標系統與必填欄位？</w:t>
      </w:r>
    </w:p>
    <w:p>
      <w:r>
        <w:t>回答：</w:t>
      </w:r>
    </w:p>
    <w:p>
      <w:r>
        <w:t>5. 報工摘要的收發對象與既有範本？</w:t>
      </w:r>
    </w:p>
    <w:p>
      <w:r>
        <w:t>回答：</w:t>
      </w:r>
    </w:p>
    <w:p>
      <w:r>
        <w:t>6. 工時是否需與出勤／應出勤時數勾稽？</w:t>
      </w:r>
    </w:p>
    <w:p>
      <w:r>
        <w:t>回答：</w:t>
      </w:r>
    </w:p>
    <w:p/>
    <w:p>
      <w:pPr>
        <w:pStyle w:val="Heading1"/>
      </w:pPr>
      <w:r>
        <w:t>題目：151｜出勤報表助手（151）</w:t>
      </w:r>
    </w:p>
    <w:p>
      <w:r>
        <w:t>1. 飛騰差勤系統的匯出欄位與方式為何？是否含班別欄位？</w:t>
      </w:r>
    </w:p>
    <w:p>
      <w:r>
        <w:t>回答：</w:t>
      </w:r>
    </w:p>
    <w:p>
      <w:r>
        <w:t>2. 班別／彈性區間與遲到早退的認定規則（幾分鐘寬限）？由 HR 提供哪份對照？</w:t>
      </w:r>
    </w:p>
    <w:p>
      <w:r>
        <w:t>回答：</w:t>
      </w:r>
    </w:p>
    <w:p>
      <w:r>
        <w:t>3. 請假與加班代碼對照表（AL/SL/PL/OT 等）的完整清單？</w:t>
      </w:r>
    </w:p>
    <w:p>
      <w:r>
        <w:t>回答：</w:t>
      </w:r>
    </w:p>
    <w:p>
      <w:r>
        <w:t>4. 缺卡的處理原則：是列待補請人補登，還是有預設補卡規則？</w:t>
      </w:r>
    </w:p>
    <w:p>
      <w:r>
        <w:t>回答：</w:t>
      </w:r>
    </w:p>
    <w:p>
      <w:r>
        <w:t>5. 出勤報表上「網頁」的目標頁面與欄位？</w:t>
      </w:r>
    </w:p>
    <w:p>
      <w:r>
        <w:t>回答：</w:t>
      </w:r>
    </w:p>
    <w:p>
      <w:r>
        <w:t>6. 報表收發對象、既有範本與產出頻率（每日／每月）？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線上完整設計（系統提示詞、知識庫、驗測情境）：https://g.intellicon.tw/cf/sh/u/u012.html　通關密語：egenthub</w:t>
      </w:r>
    </w:p>
    <w:p>
      <w:r>
        <w:t>填好請放回您的部門資料夾：Q:\11043-AI秘書\千附實業\137680_陳柏融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