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姓名：曾詩涵　部門：北區事業部（千附實業）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題目：246｜協力商發包文件助手（246）</w:t>
      </w:r>
    </w:p>
    <w:p>
      <w:r>
        <w:t>1. 紙本申請文件能否改線上表單或定期匯出 Excel/CSV？或需 OCR？</w:t>
      </w:r>
    </w:p>
    <w:p>
      <w:r>
        <w:t>回答：</w:t>
      </w:r>
    </w:p>
    <w:p>
      <w:r>
        <w:t>2. 當月發包 Excel 大表的實際格式與必填欄位（請款總表依據）為何？</w:t>
      </w:r>
    </w:p>
    <w:p>
      <w:r>
        <w:t>回答：</w:t>
      </w:r>
    </w:p>
    <w:p>
      <w:r>
        <w:t>3. 案號與發包次數的編碼／分類規則是什麼？</w:t>
      </w:r>
    </w:p>
    <w:p>
      <w:r>
        <w:t>回答：</w:t>
      </w:r>
    </w:p>
    <w:p>
      <w:r>
        <w:t>4. 協力商報價單標準格式（項目、計價單位）為何，便於比對？</w:t>
      </w:r>
    </w:p>
    <w:p>
      <w:r>
        <w:t>回答：</w:t>
      </w:r>
    </w:p>
    <w:p>
      <w:r>
        <w:t>5. 報價單金額與發包申請的核對規則與重複發包判定口徑為何？</w:t>
      </w:r>
    </w:p>
    <w:p>
      <w:r>
        <w:t>回答：</w:t>
      </w:r>
    </w:p>
    <w:p>
      <w:r>
        <w:t>6. 紙本送採購部與會計部需要哪些欄位？電子檔留存規則為何？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線上完整設計（系統提示詞、知識庫、驗測情境）：https://g.intellicon.tw/cf/sh/u/u057.html　通關密語：egenthub</w:t>
      </w:r>
    </w:p>
    <w:p>
      <w:r>
        <w:t>填好請放回您的部門資料夾：Q:\11043-AI秘書\千附實業\149290_曾詩涵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