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姓名：黃怡暄　部門：品質工程部一課（千附精密）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題目：122｜出貨報告跟催助手（122）</w:t>
      </w:r>
    </w:p>
    <w:p>
      <w:r>
        <w:t>1. 業務訂單、生管排程、供應商資料夾的實際欄位與樣本為何？</w:t>
      </w:r>
    </w:p>
    <w:p>
      <w:r>
        <w:t>回答：</w:t>
      </w:r>
    </w:p>
    <w:p>
      <w:r>
        <w:t>2. 報告／材證／廠商自主檢的齊備清單定義（哪些料號應附哪些）由誰維護？</w:t>
      </w:r>
    </w:p>
    <w:p>
      <w:r>
        <w:t>回答：</w:t>
      </w:r>
    </w:p>
    <w:p>
      <w:r>
        <w:t>3. 缺件跟催信件範本與各料號負責窗口（採購／供應商／工程師）為何？</w:t>
      </w:r>
    </w:p>
    <w:p>
      <w:r>
        <w:t>回答：</w:t>
      </w:r>
    </w:p>
    <w:p>
      <w:r>
        <w:t>4. 出貨日逾期判定規則是什麼（幾天內未齊算逾期風險）？</w:t>
      </w:r>
    </w:p>
    <w:p>
      <w:r>
        <w:t>回答：</w:t>
      </w:r>
    </w:p>
    <w:p>
      <w:r>
        <w:t>5. 報告若為 PDF，是否需 VLM 讀取後再查齊備清單（分兩步）？</w:t>
      </w:r>
    </w:p>
    <w:p>
      <w:r>
        <w:t>回答：</w:t>
      </w:r>
    </w:p>
    <w:p>
      <w:r>
        <w:t>6. 進度追蹤表與跟催 mail 的存放與寄送對象？</w:t>
      </w:r>
    </w:p>
    <w:p>
      <w:r>
        <w:t>回答：</w:t>
      </w:r>
    </w:p>
    <w:p/>
    <w:p>
      <w:pPr>
        <w:pStyle w:val="Heading1"/>
      </w:pPr>
      <w:r>
        <w:t>題目：121｜檢驗紀錄建檔歸檔助手（121）</w:t>
      </w:r>
    </w:p>
    <w:p>
      <w:r>
        <w:t>1. 紙本檢驗紀錄的真實版面樣本能否提供（手寫欄位位置、是否固定表格）？</w:t>
      </w:r>
    </w:p>
    <w:p>
      <w:r>
        <w:t>回答：</w:t>
      </w:r>
    </w:p>
    <w:p>
      <w:r>
        <w:t>2. 檢驗紀錄 Excel 的欄位定義為何？有無固定範本檔可上傳？</w:t>
      </w:r>
    </w:p>
    <w:p>
      <w:r>
        <w:t>回答：</w:t>
      </w:r>
    </w:p>
    <w:p>
      <w:r>
        <w:t>3. 歸檔命名規則是什麼（料號_工單_日期，或其他組合）？</w:t>
      </w:r>
    </w:p>
    <w:p>
      <w:r>
        <w:t>回答：</w:t>
      </w:r>
    </w:p>
    <w:p>
      <w:r>
        <w:t>4. 料號對照與量具代號有沒有現成對照表？</w:t>
      </w:r>
    </w:p>
    <w:p>
      <w:r>
        <w:t>回答：</w:t>
      </w:r>
    </w:p>
    <w:p>
      <w:r>
        <w:t>5. 紙本掃描清晰度大致如何？是否適合 VLM 直讀，或需先評估 OCR？</w:t>
      </w:r>
    </w:p>
    <w:p>
      <w:r>
        <w:t>回答：</w:t>
      </w:r>
    </w:p>
    <w:p>
      <w:r>
        <w:t>6. 前置數位化評估：能否改線上表單／定期匯出，降低辨識誤差？</w:t>
      </w:r>
    </w:p>
    <w:p>
      <w:r>
        <w:t>回答：</w:t>
      </w:r>
    </w:p>
    <w:p/>
    <w:p>
      <w:pPr>
        <w:pStyle w:val="Heading1"/>
      </w:pPr>
      <w:r>
        <w:t>題目：120｜圖面圈碼套表助手（120）</w:t>
      </w:r>
    </w:p>
    <w:p>
      <w:r>
        <w:t>1. 客戶圖面樣本（含 GD&amp;T、KC）與 ECN 發行格式能否提供數份？</w:t>
      </w:r>
    </w:p>
    <w:p>
      <w:r>
        <w:t>回答：</w:t>
      </w:r>
    </w:p>
    <w:p>
      <w:r>
        <w:t>2. SIP 套表範本的首件與量產欄位差異為何？能否提供固定範本檔？</w:t>
      </w:r>
    </w:p>
    <w:p>
      <w:r>
        <w:t>回答：</w:t>
      </w:r>
    </w:p>
    <w:p>
      <w:r>
        <w:t>3. 圈碼編號慣例、KC／FAI／首件量產判定規則是什麼？</w:t>
      </w:r>
    </w:p>
    <w:p>
      <w:r>
        <w:t>回答：</w:t>
      </w:r>
    </w:p>
    <w:p>
      <w:r>
        <w:t>4. 料號↔圖檔狀態與 ECN 對照表由誰維護、欄位為何？</w:t>
      </w:r>
    </w:p>
    <w:p>
      <w:r>
        <w:t>回答：</w:t>
      </w:r>
    </w:p>
    <w:p>
      <w:r>
        <w:t>5. 業務訂單、生管排程、ECN 發行多以 mail 進來，格式是否固定、可否結構化？</w:t>
      </w:r>
    </w:p>
    <w:p>
      <w:r>
        <w:t>回答：</w:t>
      </w:r>
    </w:p>
    <w:p>
      <w:r>
        <w:t>6. 圖面判讀建議用 VLM，圖面清晰度與標註密度大致如何？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線上完整設計（系統提示詞、知識庫、驗測情境）：https://g.intellicon.tw/cf/jm/u/u016.html　通關密語：egenthub</w:t>
      </w:r>
    </w:p>
    <w:p>
      <w:r>
        <w:t>填好請放回您的部門資料夾：Q:\11043-AI秘書\千附精密\132440_黃怡暄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