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千附 AI 導入｜需求補充問卷</w:t>
      </w:r>
    </w:p>
    <w:p>
      <w:r>
        <w:rPr>
          <w:b/>
        </w:rPr>
        <w:t>姓名：黃孟婷　部門：品質工程部一課（千附精密）</w:t>
      </w:r>
    </w:p>
    <w:p>
      <w:r>
        <w:t>請針對每個題目，把答案填在「回答：」後面（越具體越好）；填好後請放回您的部門資料夾即可，不需回信。</w:t>
      </w:r>
    </w:p>
    <w:p>
      <w:pPr>
        <w:pStyle w:val="Heading1"/>
      </w:pPr>
      <w:r>
        <w:t>題目：173｜出貨報告繪圖助手（173）</w:t>
      </w:r>
    </w:p>
    <w:p>
      <w:r>
        <w:t>1. 量測數據的來源格式為何（R 槽或 Email 附件是 Excel/文字，還是掃描 PDF/圖片）？</w:t>
      </w:r>
    </w:p>
    <w:p>
      <w:r>
        <w:t>回答：</w:t>
      </w:r>
    </w:p>
    <w:p>
      <w:r>
        <w:t>2. 出貨報告範本與 SIP 規格公差能否提供？</w:t>
      </w:r>
    </w:p>
    <w:p>
      <w:r>
        <w:t>回答：</w:t>
      </w:r>
    </w:p>
    <w:p>
      <w:r>
        <w:t>3. 尺寸代號↔圈碼對照表能否提供（供圖面對照清單）？</w:t>
      </w:r>
    </w:p>
    <w:p>
      <w:r>
        <w:t>回答：</w:t>
      </w:r>
    </w:p>
    <w:p>
      <w:r>
        <w:t>4. 寄送對象與超差處理規則是什麼？</w:t>
      </w:r>
    </w:p>
    <w:p>
      <w:r>
        <w:t>回答：</w:t>
      </w:r>
    </w:p>
    <w:p>
      <w:r>
        <w:t>5. 圖面繪製確認仍由人做——AI 出對照清單即可，這樣界線是否符合實務？</w:t>
      </w:r>
    </w:p>
    <w:p>
      <w:r>
        <w:t>回答：</w:t>
      </w:r>
    </w:p>
    <w:p>
      <w:r>
        <w:t>6. 若量測數據為 PDF/圖片，是否需 VLM 讀取後再查 SIP（分兩步）？</w:t>
      </w:r>
    </w:p>
    <w:p>
      <w:r>
        <w:t>回答：</w:t>
      </w:r>
    </w:p>
    <w:p/>
    <w:p>
      <w:pPr>
        <w:pStyle w:val="Heading1"/>
      </w:pPr>
      <w:r>
        <w:t>題目：174｜圖面與出貨報告助手（174）</w:t>
      </w:r>
    </w:p>
    <w:p>
      <w:r>
        <w:t>1. 量測數據來源格式為何（R 槽／Email 是 Excel/文字或掃描 PDF/圖片）？</w:t>
      </w:r>
    </w:p>
    <w:p>
      <w:r>
        <w:t>回答：</w:t>
      </w:r>
    </w:p>
    <w:p>
      <w:r>
        <w:t>2. 出貨報告範本與 SIP 規格公差能否提供？</w:t>
      </w:r>
    </w:p>
    <w:p>
      <w:r>
        <w:t>回答：</w:t>
      </w:r>
    </w:p>
    <w:p>
      <w:r>
        <w:t>3. 尺寸代號↔圈碼對照表能否提供？</w:t>
      </w:r>
    </w:p>
    <w:p>
      <w:r>
        <w:t>回答：</w:t>
      </w:r>
    </w:p>
    <w:p>
      <w:r>
        <w:t>4. 寄送對象與超差處理規則是什麼？</w:t>
      </w:r>
    </w:p>
    <w:p>
      <w:r>
        <w:t>回答：</w:t>
      </w:r>
    </w:p>
    <w:p>
      <w:r>
        <w:t>5. 圖面繪製確認仍由人做——AI 出對照清單的界線是否符合實務？</w:t>
      </w:r>
    </w:p>
    <w:p>
      <w:r>
        <w:t>回答：</w:t>
      </w:r>
    </w:p>
    <w:p>
      <w:r>
        <w:t>6. 此題與 173 由同一填答人（黃孟婷），是否可與 173 共用同一隻 Agent，或維持兩隻分開？</w:t>
      </w:r>
    </w:p>
    <w:p>
      <w:r>
        <w:t>回答：</w:t>
      </w:r>
    </w:p>
    <w:p/>
    <w:p>
      <w:pPr>
        <w:pStyle w:val="Heading1"/>
      </w:pPr>
      <w:r>
        <w:t>補充說明</w:t>
      </w:r>
    </w:p>
    <w:p>
      <w:r>
        <w:t>線上完整設計（系統提示詞、知識庫、驗測情境）：https://g.intellicon.tw/cf/jm/u/u018.html　通關密語：egenthub</w:t>
      </w:r>
    </w:p>
    <w:p>
      <w:r>
        <w:t>填好請放回您的部門資料夾：Q:\11043-AI秘書\千附精密\142630_黃孟婷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