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姓名：謝孟鎧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題目：259｜圖面規範核對助手（259）</w:t>
      </w:r>
    </w:p>
    <w:p>
      <w:r>
        <w:t>1. 客戶 2D／3D 圖面樣本（含 GD&amp;T、KC、版次標註）能否提供數份？3D 是否可轉為可判讀的 2D 視圖／PDF？</w:t>
      </w:r>
    </w:p>
    <w:p>
      <w:r>
        <w:t>回答：</w:t>
      </w:r>
    </w:p>
    <w:p>
      <w:r>
        <w:t>2. 圖面核對準則：哪些差異屬「重點」（公差、GD&amp;T、KC、版次）？有無現成準則文件？</w:t>
      </w:r>
    </w:p>
    <w:p>
      <w:r>
        <w:t>回答：</w:t>
      </w:r>
    </w:p>
    <w:p>
      <w:r>
        <w:t>3. 料號對照與版次規則是什麼（如何判定現行版、以哪一版為準）？</w:t>
      </w:r>
    </w:p>
    <w:p>
      <w:r>
        <w:t>回答：</w:t>
      </w:r>
    </w:p>
    <w:p>
      <w:r>
        <w:t>4. 航太／客戶規範對 KC 與關鍵尺寸的要求為何？</w:t>
      </w:r>
    </w:p>
    <w:p>
      <w:r>
        <w:t>回答：</w:t>
      </w:r>
    </w:p>
    <w:p>
      <w:r>
        <w:t>5. 能否提供幾份「核對範例」（已比對出的差異對照），讓 AI 學會副工程師的判讀重點？</w:t>
      </w:r>
    </w:p>
    <w:p>
      <w:r>
        <w:t>回答：</w:t>
      </w:r>
    </w:p>
    <w:p>
      <w:r>
        <w:t>6. 3D 圖檔格式為何（STEP/IGES/PDF）？VLM 能直接讀取或需先轉檔？此為前置數位化重點。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線上完整設計（系統提示詞、知識庫、驗測情境）：https://g.intellicon.tw/cf/jm/u/u020.html　通關密語：egenthub</w:t>
      </w:r>
    </w:p>
    <w:p>
      <w:r>
        <w:t>填好請放回您的部門資料夾：Q:\11043-AI秘書\千附精密\150010_謝孟鎧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