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部門：管理部（千附實業）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題目：002｜電子公文登錄助手（002）</w:t>
      </w:r>
    </w:p>
    <w:p>
      <w:r>
        <w:t>1. 實際『Excel 收文總表』（N/管理部/南崁總務/AD00收發文/）有哪些欄位？可否提供近 1～2 個月的範本？</w:t>
      </w:r>
    </w:p>
    <w:p>
      <w:r>
        <w:t>回答：</w:t>
      </w:r>
    </w:p>
    <w:p>
      <w:r>
        <w:t>2. 各類公文（函／法院文件／櫃買中心來函／掛號信）分別分給哪個單位？有沒有既有的分文對照規則？</w:t>
      </w:r>
    </w:p>
    <w:p>
      <w:r>
        <w:t>回答：</w:t>
      </w:r>
    </w:p>
    <w:p>
      <w:r>
        <w:t>3. 法院執行命令、支付命令、判決等法律文件，內部提醒的對象是誰？有無時效處理 SOP？</w:t>
      </w:r>
    </w:p>
    <w:p>
      <w:r>
        <w:t>回答：</w:t>
      </w:r>
    </w:p>
    <w:p>
      <w:r>
        <w:t>4. 電子公文系統能否批次匯出公文 PDF？檔名有無固定規則？</w:t>
      </w:r>
    </w:p>
    <w:p>
      <w:r>
        <w:t>回答：</w:t>
      </w:r>
    </w:p>
    <w:p>
      <w:r>
        <w:t>5. 文號、辦理期限在公文上的位置與寫法固定嗎？有無常見難辨識的版面？</w:t>
      </w:r>
    </w:p>
    <w:p>
      <w:r>
        <w:t>回答：</w:t>
      </w:r>
    </w:p>
    <w:p>
      <w:r>
        <w:t>6. AI 產出草稿後，登錄 Excel 與後續分文由誰接手？結案判定的權責在哪？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線上完整設計（系統提示詞、知識庫、驗測情境）：https://g.intellicon.tw/cf/sh/u/u002.html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