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姓名：翁智楷　部門：產品開發課（千附實業）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題目：119｜PLC程式編寫助手（119）</w:t>
      </w:r>
    </w:p>
    <w:p>
      <w:r>
        <w:t>1. PLC 程式編寫由工程師執行，可切出的文件子任務範圍為何（I/O 點位表、控制需求規格、版本紀錄）？</w:t>
      </w:r>
    </w:p>
    <w:p>
      <w:r>
        <w:t>回答：</w:t>
      </w:r>
    </w:p>
    <w:p>
      <w:r>
        <w:t>2. I/O 點位基準與設備規格的來源為何？目前自行開發存個人 NB，如何彙整與留存？</w:t>
      </w:r>
    </w:p>
    <w:p>
      <w:r>
        <w:t>回答：</w:t>
      </w:r>
    </w:p>
    <w:p>
      <w:r>
        <w:t>3. 與 PLM 的銜接方式（匯出或 MCP/Function Call 介接）？短期是否人工匯出過渡？</w:t>
      </w:r>
    </w:p>
    <w:p>
      <w:r>
        <w:t>回答：</w:t>
      </w:r>
    </w:p>
    <w:p>
      <w:r>
        <w:t>4. 位址範圍與訊號型態的有效基準（DI/DO/AI/AO 各自範圍）？</w:t>
      </w:r>
    </w:p>
    <w:p>
      <w:r>
        <w:t>回答：</w:t>
      </w:r>
    </w:p>
    <w:p>
      <w:r>
        <w:t>5. 重複位址、型態不符時的處理原則？</w:t>
      </w:r>
    </w:p>
    <w:p>
      <w:r>
        <w:t>回答：</w:t>
      </w:r>
    </w:p>
    <w:p>
      <w:r>
        <w:t>6. 控制需求規格與版本變更紀錄的範本？</w:t>
      </w:r>
    </w:p>
    <w:p>
      <w:r>
        <w:t>回答：</w:t>
      </w:r>
    </w:p>
    <w:p/>
    <w:p>
      <w:pPr>
        <w:pStyle w:val="Heading1"/>
      </w:pPr>
      <w:r>
        <w:t>題目：117｜BOM建立特需單助手（117）</w:t>
      </w:r>
    </w:p>
    <w:p>
      <w:r>
        <w:t>1. PLM／SAP 的 BOM 與特需單匯出方式與欄位（層級、料號、規格、數量）為何？</w:t>
      </w:r>
    </w:p>
    <w:p>
      <w:r>
        <w:t>回答：</w:t>
      </w:r>
    </w:p>
    <w:p>
      <w:r>
        <w:t>2. BOM 主檔／料號對照／規格表的權威來源與更新頻率？</w:t>
      </w:r>
    </w:p>
    <w:p>
      <w:r>
        <w:t>回答：</w:t>
      </w:r>
    </w:p>
    <w:p>
      <w:r>
        <w:t>3. 特需單處理規則（新料號申請流程、停用料號控管、生效日）為何？</w:t>
      </w:r>
    </w:p>
    <w:p>
      <w:r>
        <w:t>回答：</w:t>
      </w:r>
    </w:p>
    <w:p>
      <w:r>
        <w:t>4. 差異類型如何定義（新增/刪除/數量變更/料號查無/規格不符）？</w:t>
      </w:r>
    </w:p>
    <w:p>
      <w:r>
        <w:t>回答：</w:t>
      </w:r>
    </w:p>
    <w:p>
      <w:r>
        <w:t>5. 使用停用料號時的處理原則（禁用還是需簽核）？</w:t>
      </w:r>
    </w:p>
    <w:p>
      <w:r>
        <w:t>回答：</w:t>
      </w:r>
    </w:p>
    <w:p>
      <w:r>
        <w:t>6. BOM 變更比對表的收發對象與後續進 PLM 的流程？</w:t>
      </w:r>
    </w:p>
    <w:p>
      <w:r>
        <w:t>回答：</w:t>
      </w:r>
    </w:p>
    <w:p/>
    <w:p>
      <w:pPr>
        <w:pStyle w:val="Heading1"/>
      </w:pPr>
      <w:r>
        <w:t>題目：118｜PLM特需單助手（118）</w:t>
      </w:r>
    </w:p>
    <w:p>
      <w:r>
        <w:t>1. PLM 特需單的匯出方式與欄位為何？</w:t>
      </w:r>
    </w:p>
    <w:p>
      <w:r>
        <w:t>回答：</w:t>
      </w:r>
    </w:p>
    <w:p>
      <w:r>
        <w:t>2. 料號對照／規格表的權威來源為何？</w:t>
      </w:r>
    </w:p>
    <w:p>
      <w:r>
        <w:t>回答：</w:t>
      </w:r>
    </w:p>
    <w:p>
      <w:r>
        <w:t>3. 特需單與料號申請的銜接流程（何時判定沿用、何時走新製）？</w:t>
      </w:r>
    </w:p>
    <w:p>
      <w:r>
        <w:t>回答：</w:t>
      </w:r>
    </w:p>
    <w:p>
      <w:r>
        <w:t>4. 規格相近但不同（如軸長不同）時判定沿用還是新製的準則？</w:t>
      </w:r>
    </w:p>
    <w:p>
      <w:r>
        <w:t>回答：</w:t>
      </w:r>
    </w:p>
    <w:p>
      <w:r>
        <w:t>5. 客製料件（如客製鑽孔法蘭）的規格描述標準？</w:t>
      </w:r>
    </w:p>
    <w:p>
      <w:r>
        <w:t>回答：</w:t>
      </w:r>
    </w:p>
    <w:p>
      <w:r>
        <w:t>6. 特需單明細的收發對象與後續於 PLM 處理的流程？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線上完整設計（系統提示詞、知識庫、驗測情境）：https://g.intellicon.tw/cf/sh/u/u019.html　通關密語：egenthub</w:t>
      </w:r>
    </w:p>
    <w:p>
      <w:r>
        <w:t>填好請放回您的部門資料夾：Q:\11043-AI秘書\千附實業\132290_翁智楷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