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姓名：林彥銘　部門：南區事業部高雄F22/F18/華邦（千附實業）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題目：221｜出勤打卡紀錄助手（221）</w:t>
      </w:r>
    </w:p>
    <w:p>
      <w:r>
        <w:t>1. 本題主體是打卡制度／通勤議題（D1），是否改以周邊文書子任務切入（出勤異常彙整、出勤統計表、調派/通勤津貼與題219整併）？</w:t>
      </w:r>
    </w:p>
    <w:p>
      <w:r>
        <w:t>回答：</w:t>
      </w:r>
    </w:p>
    <w:p>
      <w:r>
        <w:t>2. 若做『出勤異常彙整』：出勤系統能否匯出打卡明細（含駐點、上下班時間）？</w:t>
      </w:r>
    </w:p>
    <w:p>
      <w:r>
        <w:t>回答：</w:t>
      </w:r>
    </w:p>
    <w:p>
      <w:r>
        <w:t>3. 異常類型定義（缺卡、遲到、加班、整日無紀錄）與對應單別（補卡／加班／請假／出差）口徑為何？</w:t>
      </w:r>
    </w:p>
    <w:p>
      <w:r>
        <w:t>回答：</w:t>
      </w:r>
    </w:p>
    <w:p>
      <w:r>
        <w:t>4. 駐點別如何標示？跨廠區調派的出勤如何歸屬？</w:t>
      </w:r>
    </w:p>
    <w:p>
      <w:r>
        <w:t>回答：</w:t>
      </w:r>
    </w:p>
    <w:p>
      <w:r>
        <w:t>5. 打卡與通勤制度本身是否交人資／管理面評估（彈性打卡、駐點打卡、共乘）？</w:t>
      </w:r>
    </w:p>
    <w:p>
      <w:r>
        <w:t>回答：</w:t>
      </w:r>
    </w:p>
    <w:p>
      <w:r>
        <w:t>6. 本子任務的產出要送誰、存哪裡（人資／管理部）？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線上完整設計（系統提示詞、知識庫、驗測情境）：https://g.intellicon.tw/cf/sh/u/u055.html　通關密語：egenthub</w:t>
      </w:r>
    </w:p>
    <w:p>
      <w:r>
        <w:t>填好請放回您的部門資料夾：Q:\11043-AI秘書\千附實業\147870_林彥銘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