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80"/>
        <w:jc w:val="center"/>
      </w:pPr>
      <w:r>
        <w:rPr>
          <w:rFonts w:ascii="Noto Sans SC Thin" w:hAnsi="Noto Sans SC Thin" w:eastAsia="Noto Sans SC Thin"/>
          <w:b/>
          <w:i w:val="0"/>
          <w:color w:val="183B56"/>
          <w:sz w:val="68"/>
        </w:rPr>
        <w:t>百 工</w:t>
      </w:r>
    </w:p>
    <w:p>
      <w:pPr>
        <w:spacing w:before="0" w:after="160" w:line="269" w:lineRule="auto"/>
        <w:jc w:val="center"/>
      </w:pPr>
      <w:r>
        <w:rPr>
          <w:rFonts w:ascii="Noto Sans SC Thin" w:hAnsi="Noto Sans SC Thin" w:eastAsia="Noto Sans SC Thin"/>
          <w:b/>
          <w:i w:val="0"/>
          <w:color w:val="0D6B67"/>
          <w:sz w:val="38"/>
        </w:rPr>
        <w:t>BAIGONG</w:t>
      </w:r>
    </w:p>
    <w:p>
      <w:pPr>
        <w:spacing w:before="0" w:after="200" w:line="269" w:lineRule="auto"/>
        <w:jc w:val="center"/>
      </w:pPr>
      <w:r>
        <w:rPr>
          <w:rFonts w:ascii="Noto Sans SC Thin" w:hAnsi="Noto Sans SC Thin" w:eastAsia="Noto Sans SC Thin"/>
          <w:b/>
          <w:i w:val="0"/>
          <w:color w:val="17212B"/>
          <w:sz w:val="36"/>
        </w:rPr>
        <w:t>多人多 Agent 联邦协作系统</w:t>
      </w:r>
    </w:p>
    <w:p>
      <w:pPr>
        <w:spacing w:before="0" w:after="480" w:line="269" w:lineRule="auto"/>
        <w:jc w:val="center"/>
      </w:pPr>
      <w:r>
        <w:rPr>
          <w:rFonts w:ascii="Noto Sans SC Thin" w:hAnsi="Noto Sans SC Thin" w:eastAsia="Noto Sans SC Thin"/>
          <w:b w:val="0"/>
          <w:i w:val="0"/>
          <w:color w:val="60717C"/>
          <w:sz w:val="26"/>
        </w:rPr>
        <w:t>产品、开源生态与技术论文调研及设计报告</w:t>
      </w:r>
    </w:p>
    <w:tbl>
      <w:tblPr>
        <w:tblW w:type="dxa" w:w="7000"/>
        <w:jc w:val="center"/>
        <w:tblLayout w:type="fixed"/>
        <w:tblLook w:firstColumn="1" w:firstRow="1" w:lastColumn="0" w:lastRow="0" w:noHBand="0" w:noVBand="1" w:val="04A0"/>
      </w:tblPr>
      <w:tblGrid>
        <w:gridCol w:w="7000"/>
      </w:tblGrid>
      <w:tr>
        <w:tc>
          <w:tcPr>
            <w:tcW w:type="dxa" w:w="7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3F1"/>
          </w:tcPr>
          <w:p>
            <w:pPr>
              <w:spacing w:before="0" w:after="80" w:line="264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0D6B67"/>
                <w:sz w:val="26"/>
              </w:rPr>
              <w:t>聚百工之智，成一事之全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/>
                <w:color w:val="60717C"/>
                <w:sz w:val="21"/>
              </w:rPr>
              <w:t>Bring Your Agent. Build as One.</w:t>
            </w:r>
          </w:p>
        </w:tc>
      </w:tr>
    </w:tbl>
    <w:p>
      <w:pPr>
        <w:spacing w:before="2400"/>
        <w:jc w:val="center"/>
      </w:pPr>
      <w:r>
        <w:rPr>
          <w:rFonts w:ascii="Noto Sans SC Thin" w:hAnsi="Noto Sans SC Thin" w:eastAsia="Noto Sans SC Thin"/>
          <w:b/>
          <w:i w:val="0"/>
          <w:color w:val="183B56"/>
          <w:sz w:val="21"/>
        </w:rPr>
        <w:t>版本 v0.2</w:t>
      </w:r>
    </w:p>
    <w:p>
      <w:pPr>
        <w:jc w:val="center"/>
      </w:pPr>
      <w:r>
        <w:rPr>
          <w:rFonts w:ascii="Noto Sans SC Thin" w:hAnsi="Noto Sans SC Thin" w:eastAsia="Noto Sans SC Thin"/>
          <w:b w:val="0"/>
          <w:i w:val="0"/>
          <w:color w:val="60717C"/>
          <w:sz w:val="19"/>
        </w:rPr>
        <w:t>调研截至 2026 年 7 月 22 日</w:t>
      </w:r>
    </w:p>
    <w:p>
      <w:r>
        <w:br w:type="page"/>
      </w:r>
    </w:p>
    <w:p>
      <w:pPr>
        <w:pStyle w:val="Heading1"/>
        <w:keepNext/>
      </w:pPr>
      <w:r>
        <w:rPr>
          <w:rFonts w:ascii="Noto Sans SC Thin" w:hAnsi="Noto Sans SC Thin" w:eastAsia="Noto Sans SC Thin"/>
        </w:rPr>
        <w:t>执行摘要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0E3"/>
          </w:tcPr>
          <w:p>
            <w:pPr>
              <w:spacing w:before="0" w:after="60" w:line="269" w:lineRule="auto"/>
            </w:pPr>
            <w:r>
              <w:rPr>
                <w:rFonts w:ascii="Noto Sans SC Thin" w:hAnsi="Noto Sans SC Thin" w:eastAsia="Noto Sans SC Thin"/>
                <w:b/>
                <w:i w:val="0"/>
                <w:color w:val="A87924"/>
                <w:sz w:val="21"/>
              </w:rPr>
              <w:t xml:space="preserve">最终建议  </w:t>
            </w: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21"/>
              </w:rPr>
              <w:t>项目正式命名为“百工 BAIGONG”。产品类别定义为“多所有者多智能体系统（Multi-Owner Multi-Agent System，MOMAS）”，而不是普通的多 Agent 编排器。其核心是让每个人保留自己的工作空间、Agent、能力和权限边界，同时能够加入组织，安全地共享、组合和演化能力，并共同完成端到端任务。</w:t>
            </w:r>
          </w:p>
        </w:tc>
      </w:tr>
    </w:tbl>
    <w:p>
      <w:pPr>
        <w:spacing w:after="0"/>
      </w:pPr>
    </w:p>
    <w:p>
      <w:pPr>
        <w:spacing w:before="0" w:after="120" w:line="274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1"/>
        </w:rPr>
        <w:t>本项目具备明确的开源产品价值和论文空间，但竞争窗口已经收窄。OpenAgents 已经提供“本地 Agent 接入共享 workspace”的基础能力；Ruflo 正在推进跨信任边界的 Agent federation；OpenAI Workspace Agents、Microsoft Copilot Studio、Google Gemini Enterprise、Salesforce Agent Fabric 和 ServiceNow AI Agent Fabric 正在建设企业 Agent 控制面。[1][2][3][10][11][12][13]</w:t>
      </w:r>
    </w:p>
    <w:p>
      <w:pPr>
        <w:spacing w:before="0" w:after="120" w:line="274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1"/>
        </w:rPr>
        <w:t>研究侧同样快速逼近：Federation of Agents（FoA）研究了基于版本化能力向量的语义路由和动态任务 DAG；FederatedSkill 已经研究了跨用户的隐私保护 Skill 演化，并报告最高 44.4% 成功率提升和 37.5% 计算成本下降。[18][19] 因此，“共享 workspace”“Agent 互联”或“广播 Skill”任何一个单点，都不足以单独支撑一篇有辨识度的论文。</w:t>
      </w:r>
    </w:p>
    <w:p>
      <w:pPr>
        <w:spacing w:before="0" w:after="120" w:line="274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1"/>
        </w:rPr>
        <w:t>百工应把四项能力绑定成一个完整系统贡献：① Bring-Your-Own-Agent 的个人工作空间联邦；② 多所有者身份、权限和数据边界；③ 经过验证、可回滚、可归因的能力供应链；④ 以端到端任务为驱动的组织级持续学习。对应的论文题目建议为：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3F1"/>
          </w:tcPr>
          <w:p>
            <w:pPr>
              <w:spacing w:before="0" w:after="60" w:line="269" w:lineRule="auto"/>
            </w:pPr>
            <w:r>
              <w:rPr>
                <w:rFonts w:ascii="Noto Sans SC Thin" w:hAnsi="Noto Sans SC Thin" w:eastAsia="Noto Sans SC Thin"/>
                <w:b/>
                <w:i w:val="0"/>
                <w:color w:val="0D6B67"/>
                <w:sz w:val="21"/>
              </w:rPr>
              <w:t xml:space="preserve">论文题目  </w:t>
            </w: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21"/>
              </w:rPr>
              <w:t>BAIGONG: Federating Personal Agent Workspaces for Multi-Owner Multi-Agent Collaboration and Organizational Learning</w:t>
            </w:r>
          </w:p>
        </w:tc>
      </w:tr>
    </w:tbl>
    <w:p>
      <w:pPr>
        <w:spacing w:after="0"/>
      </w:pPr>
    </w:p>
    <w:p>
      <w:pPr>
        <w:spacing w:before="0" w:after="120" w:line="274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1"/>
        </w:rPr>
        <w:t>产品 MVP 不应从通用企业平台起步。最优切口是 3–10 人的软件/技术产品团队：成员将 Codex、Claude Code、OpenCode 或自研 Agent 接入百工，系统完成需求拆解、跨 workspace 委派、代码与报告交付、验收、失败重规划，并从真实任务中提炼可复用能力。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0E3"/>
          </w:tcPr>
          <w:p>
            <w:pPr>
              <w:spacing w:before="0" w:after="60" w:line="269" w:lineRule="auto"/>
            </w:pPr>
            <w:r>
              <w:rPr>
                <w:rFonts w:ascii="Noto Sans SC Thin" w:hAnsi="Noto Sans SC Thin" w:eastAsia="Noto Sans SC Thin"/>
                <w:b/>
                <w:i w:val="0"/>
                <w:color w:val="A87924"/>
                <w:sz w:val="21"/>
              </w:rPr>
              <w:t xml:space="preserve">实施结论  </w:t>
            </w: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21"/>
              </w:rPr>
              <w:t>采用“OpenAgents 验证入口 + 百工控制面从零构建”的混合路线。前 2 周复用 OpenAgents 的 Agent Launcher、共享 Workspace 和多种 CLI Agent 接入能力；核心的 Owner Boundary、Task Contract、Capability Supply Chain、Provenance 和 MOMAS-Bench 必须由百工独立实现。不要深度 Fork OpenAgents，也不要从零重写 Agent Launcher、A2A、MCP、鉴权、消息总线和可观测性等成熟基础设施。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SC Thin" w:hAnsi="Noto Sans SC Thin" w:eastAsia="Noto Sans SC Thin"/>
        </w:rPr>
        <w:t>1. 中文命名：为什么是“百工”</w:t>
      </w:r>
    </w:p>
    <w:p>
      <w:pPr>
        <w:spacing w:before="0" w:after="120" w:line="274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1"/>
        </w:rPr>
        <w:t>“百工”是中国传统技术文明中对各类工匠、技艺和专业分工的统称。《周礼·考工记》以“审曲面势，以饬五材，以辨民器，谓之百工”描述百工：观察约束、运用材料、制造器物；并以“天有时，地有气，材有美，工有巧，合此四者，然后可以为良”强调系统条件、资源和技能的共同作用。[25][26]</w:t>
      </w:r>
    </w:p>
    <w:p>
      <w:pPr>
        <w:spacing w:before="0" w:after="120" w:line="274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1"/>
        </w:rPr>
        <w:t>这与目标系统存在结构性对应：每个人有自己的“工坊”（workspace），每个 Agent 有自己的“工巧”（skills/tools），组织通过“工契”连接，通过“工流”协作，最终交付一个可验收的“器”。它不是一群无主 Agent 的蜂群，而是多个有明确所有者、专业、权限和责任边界的数字工匠组织。</w:t>
      </w:r>
    </w:p>
    <w:p>
      <w:pPr>
        <w:spacing w:before="0" w:after="120" w:line="274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1"/>
        </w:rPr>
        <w:t>更重要的是，中国传统“物勒工名”制度要求制造者在器物上留下姓名，以便检验质量和追责。[27] 这天然对应 Agent 系统需要的 provenance、贡献归因、审计与责任链。因此“百工”不仅是品牌故事，也能直接映射技术架构。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2200"/>
        <w:gridCol w:w="5960"/>
      </w:tblGrid>
      <w:tr>
        <w:trPr>
          <w:tblHeader w:val="true"/>
        </w:trPr>
        <w:tc>
          <w:tcPr>
            <w:tcW w:type="dxa" w:w="120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7"/>
              </w:rPr>
              <w:t>中文模块</w:t>
            </w:r>
          </w:p>
        </w:tc>
        <w:tc>
          <w:tcPr>
            <w:tcW w:type="dxa" w:w="220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7"/>
              </w:rPr>
              <w:t>英文概念</w:t>
            </w:r>
          </w:p>
        </w:tc>
        <w:tc>
          <w:tcPr>
            <w:tcW w:type="dxa" w:w="596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7"/>
              </w:rPr>
              <w:t>系统含义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7"/>
              </w:rPr>
              <w:t>工境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7"/>
              </w:rPr>
              <w:t>Workspace Edge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7"/>
              </w:rPr>
              <w:t>个人 Agent、代码、数据、密钥和运行时所在的本地/云工作空间</w:t>
            </w:r>
          </w:p>
        </w:tc>
      </w:tr>
      <w:tr>
        <w:trPr>
          <w:cantSplit/>
        </w:trPr>
        <w:tc>
          <w:tcPr>
            <w:tcW w:type="dxa" w:w="12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7"/>
              </w:rPr>
              <w:t>工契</w:t>
            </w:r>
          </w:p>
        </w:tc>
        <w:tc>
          <w:tcPr>
            <w:tcW w:type="dxa" w:w="22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7"/>
              </w:rPr>
              <w:t>Federation Contract</w:t>
            </w:r>
          </w:p>
        </w:tc>
        <w:tc>
          <w:tcPr>
            <w:tcW w:type="dxa" w:w="596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7"/>
              </w:rPr>
              <w:t>身份、Agent Card、A2A/MCP、共享政策和任务契约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7"/>
              </w:rPr>
              <w:t>工谱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7"/>
              </w:rPr>
              <w:t>Capability Registry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7"/>
              </w:rPr>
              <w:t>Skill、Plugin、MCP、Agent、Workflow 和评测的能力目录</w:t>
            </w:r>
          </w:p>
        </w:tc>
      </w:tr>
      <w:tr>
        <w:trPr>
          <w:cantSplit/>
        </w:trPr>
        <w:tc>
          <w:tcPr>
            <w:tcW w:type="dxa" w:w="12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7"/>
              </w:rPr>
              <w:t>工流</w:t>
            </w:r>
          </w:p>
        </w:tc>
        <w:tc>
          <w:tcPr>
            <w:tcW w:type="dxa" w:w="22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7"/>
              </w:rPr>
              <w:t>Task Fabric</w:t>
            </w:r>
          </w:p>
        </w:tc>
        <w:tc>
          <w:tcPr>
            <w:tcW w:type="dxa" w:w="596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7"/>
              </w:rPr>
              <w:t>端到端任务 DAG、委派、交付、验收和重规划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7"/>
              </w:rPr>
              <w:t>工验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7"/>
              </w:rPr>
              <w:t>Capability Supply Chain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7"/>
              </w:rPr>
              <w:t>能力提炼、验证、灰度、适配、回滚与负迁移防护</w:t>
            </w:r>
          </w:p>
        </w:tc>
      </w:tr>
      <w:tr>
        <w:trPr>
          <w:cantSplit/>
        </w:trPr>
        <w:tc>
          <w:tcPr>
            <w:tcW w:type="dxa" w:w="12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7"/>
              </w:rPr>
              <w:t>工名</w:t>
            </w:r>
          </w:p>
        </w:tc>
        <w:tc>
          <w:tcPr>
            <w:tcW w:type="dxa" w:w="22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7"/>
              </w:rPr>
              <w:t>Provenance</w:t>
            </w:r>
          </w:p>
        </w:tc>
        <w:tc>
          <w:tcPr>
            <w:tcW w:type="dxa" w:w="596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7"/>
              </w:rPr>
              <w:t>作者、来源、执行证据、贡献度、信誉与责任追踪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7"/>
              </w:rPr>
              <w:t>工枢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7"/>
              </w:rPr>
              <w:t>Control Plane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7"/>
              </w:rPr>
              <w:t>组织、项目、权限、成本、运营和组织学习控制面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SC Thin" w:hAnsi="Noto Sans SC Thin" w:eastAsia="Noto Sans SC Thin"/>
        </w:rPr>
        <w:t>1.1 品牌表达</w:t>
      </w:r>
    </w:p>
    <w:p>
      <w:pPr>
        <w:pStyle w:val="ListBullet"/>
        <w:spacing w:before="0" w:after="60" w:line="259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中文全称：百工多人多智能体联邦协作系统</w:t>
      </w:r>
    </w:p>
    <w:p>
      <w:pPr>
        <w:pStyle w:val="ListBullet"/>
        <w:spacing w:before="0" w:after="60" w:line="259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英文名称：BAIGONG</w:t>
      </w:r>
    </w:p>
    <w:p>
      <w:pPr>
        <w:pStyle w:val="ListBullet"/>
        <w:spacing w:before="0" w:after="60" w:line="259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产品一句话：让每个人带着自己的 Agent 加入团队。</w:t>
      </w:r>
    </w:p>
    <w:p>
      <w:pPr>
        <w:pStyle w:val="ListBullet"/>
        <w:spacing w:before="0" w:after="60" w:line="259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中文口号：聚百工之智，成一事之全。</w:t>
      </w:r>
    </w:p>
    <w:p>
      <w:pPr>
        <w:pStyle w:val="ListBullet"/>
        <w:spacing w:before="0" w:after="60" w:line="259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英文口号：Bring Your Agent. Build as One.</w:t>
      </w:r>
    </w:p>
    <w:p>
      <w:pPr>
        <w:pStyle w:val="ListBullet"/>
        <w:spacing w:before="0" w:after="60" w:line="259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技术类别：Multi-Owner Multi-Agent System（MOMAS）</w:t>
      </w:r>
    </w:p>
    <w:p>
      <w:pPr>
        <w:pStyle w:val="Heading2"/>
        <w:keepNext/>
      </w:pPr>
      <w:r>
        <w:rPr>
          <w:rFonts w:ascii="Noto Sans SC Thin" w:hAnsi="Noto Sans SC Thin" w:eastAsia="Noto Sans SC Thin"/>
        </w:rPr>
        <w:t>1.2 备选中文名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50"/>
        <w:gridCol w:w="1900"/>
        <w:gridCol w:w="3100"/>
        <w:gridCol w:w="2500"/>
        <w:gridCol w:w="910"/>
      </w:tblGrid>
      <w:tr>
        <w:trPr>
          <w:tblHeader w:val="true"/>
        </w:trPr>
        <w:tc>
          <w:tcPr>
            <w:tcW w:type="dxa" w:w="95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名称</w:t>
            </w:r>
          </w:p>
        </w:tc>
        <w:tc>
          <w:tcPr>
            <w:tcW w:type="dxa" w:w="190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文化含义</w:t>
            </w:r>
          </w:p>
        </w:tc>
        <w:tc>
          <w:tcPr>
            <w:tcW w:type="dxa" w:w="310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优点</w:t>
            </w:r>
          </w:p>
        </w:tc>
        <w:tc>
          <w:tcPr>
            <w:tcW w:type="dxa" w:w="250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主要问题</w:t>
            </w:r>
          </w:p>
        </w:tc>
        <w:tc>
          <w:tcPr>
            <w:tcW w:type="dxa" w:w="91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评分</w:t>
            </w:r>
          </w:p>
        </w:tc>
      </w:tr>
      <w:tr>
        <w:trPr>
          <w:cantSplit/>
        </w:trPr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百工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百种工艺与专业分工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准确表达多所有者、多技能、共同造物；架构词汇可延展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拼音在海外需教育；需做商标核查</w:t>
            </w:r>
          </w:p>
        </w:tc>
        <w:tc>
          <w:tcPr>
            <w:tcW w:type="dxa" w:w="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9.5</w:t>
            </w:r>
          </w:p>
        </w:tc>
      </w:tr>
      <w:tr>
        <w:trPr>
          <w:cantSplit/>
        </w:trPr>
        <w:tc>
          <w:tcPr>
            <w:tcW w:type="dxa" w:w="9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群策</w:t>
            </w:r>
          </w:p>
        </w:tc>
        <w:tc>
          <w:tcPr>
            <w:tcW w:type="dxa" w:w="19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群策群力</w:t>
            </w:r>
          </w:p>
        </w:tc>
        <w:tc>
          <w:tcPr>
            <w:tcW w:type="dxa" w:w="31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直接表达多人协同，简短易记</w:t>
            </w:r>
          </w:p>
        </w:tc>
        <w:tc>
          <w:tcPr>
            <w:tcW w:type="dxa" w:w="25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偏管理咨询，技术和造物感较弱</w:t>
            </w:r>
          </w:p>
        </w:tc>
        <w:tc>
          <w:tcPr>
            <w:tcW w:type="dxa" w:w="91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8.6</w:t>
            </w:r>
          </w:p>
        </w:tc>
      </w:tr>
      <w:tr>
        <w:trPr>
          <w:cantSplit/>
        </w:trPr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合枢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协作之枢纽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技术控制面意味强，重名少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文化出处和社区亲和力弱于百工</w:t>
            </w:r>
          </w:p>
        </w:tc>
        <w:tc>
          <w:tcPr>
            <w:tcW w:type="dxa" w:w="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8.4</w:t>
            </w:r>
          </w:p>
        </w:tc>
      </w:tr>
      <w:tr>
        <w:trPr>
          <w:cantSplit/>
        </w:trPr>
        <w:tc>
          <w:tcPr>
            <w:tcW w:type="dxa" w:w="9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经纬</w:t>
            </w:r>
          </w:p>
        </w:tc>
        <w:tc>
          <w:tcPr>
            <w:tcW w:type="dxa" w:w="19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织物经纬、治理秩序</w:t>
            </w:r>
          </w:p>
        </w:tc>
        <w:tc>
          <w:tcPr>
            <w:tcW w:type="dxa" w:w="31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适合网络和编排，中文辨识度高</w:t>
            </w:r>
          </w:p>
        </w:tc>
        <w:tc>
          <w:tcPr>
            <w:tcW w:type="dxa" w:w="25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商业重名极多</w:t>
            </w:r>
          </w:p>
        </w:tc>
        <w:tc>
          <w:tcPr>
            <w:tcW w:type="dxa" w:w="91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7.8</w:t>
            </w:r>
          </w:p>
        </w:tc>
      </w:tr>
      <w:tr>
        <w:trPr>
          <w:cantSplit/>
        </w:trPr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星罗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星罗棋布、分布式网络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适合分布式 Agent，视觉感强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更像基础设施或地图产品</w:t>
            </w:r>
          </w:p>
        </w:tc>
        <w:tc>
          <w:tcPr>
            <w:tcW w:type="dxa" w:w="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7.7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0E3"/>
          </w:tcPr>
          <w:p>
            <w:pPr>
              <w:spacing w:before="0" w:after="60" w:line="269" w:lineRule="auto"/>
            </w:pPr>
            <w:r>
              <w:rPr>
                <w:rFonts w:ascii="Noto Sans SC Thin" w:hAnsi="Noto Sans SC Thin" w:eastAsia="Noto Sans SC Thin"/>
                <w:b/>
                <w:i w:val="0"/>
                <w:color w:val="A87924"/>
                <w:sz w:val="21"/>
              </w:rPr>
              <w:t xml:space="preserve">命名结论  </w:t>
            </w: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21"/>
              </w:rPr>
              <w:t>建议锁定“百工 BAIGONG”。正式使用前再完成中国/美国商标、GitHub organization、PyPI、npm、主流域名和微信公众号名称核查；目前公开检索未发现同名的主流 AI Agent 框架。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SC Thin" w:hAnsi="Noto Sans SC Thin" w:eastAsia="Noto Sans SC Thin"/>
        </w:rPr>
        <w:t>2. 系统定义与研究边界</w:t>
      </w:r>
    </w:p>
    <w:p>
      <w:pPr>
        <w:pStyle w:val="Heading2"/>
        <w:keepNext/>
      </w:pPr>
      <w:r>
        <w:rPr>
          <w:rFonts w:ascii="Noto Sans SC Thin" w:hAnsi="Noto Sans SC Thin" w:eastAsia="Noto Sans SC Thin"/>
        </w:rPr>
        <w:t>2.1 从 MAS 到 MOMAS</w:t>
      </w:r>
    </w:p>
    <w:p>
      <w:pPr>
        <w:spacing w:before="0" w:after="120" w:line="274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1"/>
        </w:rPr>
        <w:t>传统 Multi-Agent System 通常假设多个 Agent 由同一开发者或同一平台配置，共享一个编排器、状态空间或安全域。百工要解决的是不同问题：每个 Agent 背后存在不同的人、工作空间、数据、密钥、工具、预算和责任主体。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3F1"/>
          </w:tcPr>
          <w:p>
            <w:pPr>
              <w:spacing w:before="0" w:after="60" w:line="269" w:lineRule="auto"/>
            </w:pPr>
            <w:r>
              <w:rPr>
                <w:rFonts w:ascii="Noto Sans SC Thin" w:hAnsi="Noto Sans SC Thin" w:eastAsia="Noto Sans SC Thin"/>
                <w:b/>
                <w:i w:val="0"/>
                <w:color w:val="0D6B67"/>
                <w:sz w:val="21"/>
              </w:rPr>
              <w:t xml:space="preserve">MOMAS 定义  </w:t>
            </w: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21"/>
              </w:rPr>
              <w:t>多所有者多智能体系统，是由两个及以上独立所有者控制的 Agent/Workspace 单元组成的协作系统。成员保留本地自治和撤回权，组织只获得经过策略授权的能力视图、任务接口、产物和证据。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SC Thin" w:hAnsi="Noto Sans SC Thin" w:eastAsia="Noto Sans SC Thin"/>
        </w:rPr>
        <w:t>2.2 四个不可拆开的目标</w:t>
      </w:r>
    </w:p>
    <w:p>
      <w:pPr>
        <w:spacing w:before="0" w:after="80" w:line="264" w:lineRule="auto"/>
        <w:ind w:left="317" w:hanging="317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 xml:space="preserve">1.  </w:t>
      </w: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无缝入网：已有 Codex、Claude Code、OpenCode、Harness 或自研 Agent 不重建、不迁移全部上下文，通过 adapter 自动生成 workspace manifest 并加入组织。</w:t>
      </w:r>
    </w:p>
    <w:p>
      <w:pPr>
        <w:spacing w:before="0" w:after="80" w:line="264" w:lineRule="auto"/>
        <w:ind w:left="317" w:hanging="317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 xml:space="preserve">2.  </w:t>
      </w: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能力流通：Skill、Plugin、MCP、Workflow、Evaluator 可以被发布、订阅、组合和个性化适配，但默认不复制私有数据和密钥。</w:t>
      </w:r>
    </w:p>
    <w:p>
      <w:pPr>
        <w:spacing w:before="0" w:after="80" w:line="264" w:lineRule="auto"/>
        <w:ind w:left="317" w:hanging="317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 xml:space="preserve">3.  </w:t>
      </w: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全程贯通：系统从模糊目标开始，拆成可验证任务图，跨 workspace 执行，经过评审和失败重规划，直至交付。</w:t>
      </w:r>
    </w:p>
    <w:p>
      <w:pPr>
        <w:spacing w:before="0" w:after="80" w:line="264" w:lineRule="auto"/>
        <w:ind w:left="317" w:hanging="317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 xml:space="preserve">4.  </w:t>
      </w: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组织学习：每次任务不仅产生结果，还产生经过验证的能力差分、失败规则、评测与信誉，使下一次协作更好。</w:t>
      </w:r>
    </w:p>
    <w:p>
      <w:pPr>
        <w:pStyle w:val="Heading2"/>
        <w:keepNext/>
      </w:pPr>
      <w:r>
        <w:rPr>
          <w:rFonts w:ascii="Noto Sans SC Thin" w:hAnsi="Noto Sans SC Thin" w:eastAsia="Noto Sans SC Thin"/>
        </w:rPr>
        <w:t>2.3 明确不做什么</w:t>
      </w:r>
    </w:p>
    <w:p>
      <w:pPr>
        <w:pStyle w:val="ListBullet"/>
        <w:spacing w:before="0" w:after="60" w:line="259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不重新发明 Agent-to-Agent 通信协议；优先采用 A2A，工具和数据接口采用 MCP。[14][15]</w:t>
      </w:r>
    </w:p>
    <w:p>
      <w:pPr>
        <w:pStyle w:val="ListBullet"/>
        <w:spacing w:before="0" w:after="60" w:line="259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不替代个人 Agent runtime；百工位于其上方，做联邦、治理、能力和任务控制层。</w:t>
      </w:r>
    </w:p>
    <w:p>
      <w:pPr>
        <w:pStyle w:val="ListBullet"/>
        <w:spacing w:before="0" w:after="60" w:line="259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不在第一阶段建设公网 Agent 交易市场、支付协议或通用自治公司。</w:t>
      </w:r>
    </w:p>
    <w:p>
      <w:pPr>
        <w:pStyle w:val="ListBullet"/>
        <w:spacing w:before="0" w:after="60" w:line="259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不把所有 workspace 的原始记忆、代码和凭据集中上传；默认采用最小披露。</w:t>
      </w:r>
    </w:p>
    <w:p>
      <w:pPr>
        <w:pStyle w:val="Heading1"/>
        <w:keepNext/>
      </w:pPr>
      <w:r>
        <w:rPr>
          <w:rFonts w:ascii="Noto Sans SC Thin" w:hAnsi="Noto Sans SC Thin" w:eastAsia="Noto Sans SC Thin"/>
        </w:rPr>
        <w:t>3. 工具与产品调研</w:t>
      </w:r>
    </w:p>
    <w:p>
      <w:pPr>
        <w:spacing w:before="0" w:after="120" w:line="274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1"/>
        </w:rPr>
        <w:t>调研将现有方案分为五层：协议、Agent 编排框架、共享工作空间/编码 Agent 管理器、企业 Agent 控制面、能力演化研究。没有一个成熟项目完整覆盖“多所有者个人工作空间接入 + 能力供应链 + 端到端组织学习”，但若只做其中一层，会与现有项目高度重叠。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7674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ition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67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9" w:lineRule="auto"/>
        <w:jc w:val="center"/>
      </w:pPr>
      <w:r>
        <w:rPr>
          <w:rFonts w:ascii="Noto Sans SC Thin" w:hAnsi="Noto Sans SC Thin" w:eastAsia="Noto Sans SC Thin"/>
          <w:b w:val="0"/>
          <w:i/>
          <w:color w:val="60717C"/>
          <w:sz w:val="17"/>
        </w:rPr>
        <w:t>图 1｜公开方案的概念位置（基于公开能力的定性判断）</w:t>
      </w:r>
    </w:p>
    <w:p>
      <w:pPr>
        <w:pStyle w:val="Heading2"/>
        <w:keepNext/>
      </w:pPr>
      <w:r>
        <w:rPr>
          <w:rFonts w:ascii="Noto Sans SC Thin" w:hAnsi="Noto Sans SC Thin" w:eastAsia="Noto Sans SC Thin"/>
        </w:rPr>
        <w:t>3.1 竞争/替代方案总表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050"/>
        <w:gridCol w:w="1000"/>
        <w:gridCol w:w="920"/>
        <w:gridCol w:w="900"/>
        <w:gridCol w:w="820"/>
        <w:gridCol w:w="900"/>
        <w:gridCol w:w="700"/>
        <w:gridCol w:w="3070"/>
      </w:tblGrid>
      <w:tr>
        <w:trPr>
          <w:tblHeader w:val="true"/>
        </w:trPr>
        <w:tc>
          <w:tcPr>
            <w:tcW w:type="dxa" w:w="105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方案</w:t>
            </w:r>
          </w:p>
        </w:tc>
        <w:tc>
          <w:tcPr>
            <w:tcW w:type="dxa" w:w="100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类型</w:t>
            </w:r>
          </w:p>
        </w:tc>
        <w:tc>
          <w:tcPr>
            <w:tcW w:type="dxa" w:w="92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接入已有 Agent</w:t>
            </w:r>
          </w:p>
        </w:tc>
        <w:tc>
          <w:tcPr>
            <w:tcW w:type="dxa" w:w="90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多人/多所有者</w:t>
            </w:r>
          </w:p>
        </w:tc>
        <w:tc>
          <w:tcPr>
            <w:tcW w:type="dxa" w:w="82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能力演化</w:t>
            </w:r>
          </w:p>
        </w:tc>
        <w:tc>
          <w:tcPr>
            <w:tcW w:type="dxa" w:w="90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端到端任务</w:t>
            </w:r>
          </w:p>
        </w:tc>
        <w:tc>
          <w:tcPr>
            <w:tcW w:type="dxa" w:w="70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治理</w:t>
            </w:r>
          </w:p>
        </w:tc>
        <w:tc>
          <w:tcPr>
            <w:tcW w:type="dxa" w:w="307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与百工关系</w:t>
            </w:r>
          </w:p>
        </w:tc>
      </w:tr>
      <w:tr>
        <w:trPr>
          <w:cantSplit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OpenAgents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开源共享 Workspace</w:t>
            </w:r>
          </w:p>
        </w:tc>
        <w:tc>
          <w:tcPr>
            <w:tcW w:type="dxa" w:w="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强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中</w:t>
            </w:r>
          </w:p>
        </w:tc>
        <w:tc>
          <w:tcPr>
            <w:tcW w:type="dxa" w:w="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弱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中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弱-中</w:t>
            </w:r>
          </w:p>
        </w:tc>
        <w:tc>
          <w:tcPr>
            <w:tcW w:type="dxa" w:w="30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最接近产品入口，需重点差异化</w:t>
            </w:r>
          </w:p>
        </w:tc>
      </w:tr>
      <w:tr>
        <w:trPr>
          <w:cantSplit/>
        </w:trPr>
        <w:tc>
          <w:tcPr>
            <w:tcW w:type="dxa" w:w="10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Ruflo</w:t>
            </w:r>
          </w:p>
        </w:tc>
        <w:tc>
          <w:tcPr>
            <w:tcW w:type="dxa" w:w="10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开源 Meta-harness</w:t>
            </w:r>
          </w:p>
        </w:tc>
        <w:tc>
          <w:tcPr>
            <w:tcW w:type="dxa" w:w="92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中-强</w:t>
            </w:r>
          </w:p>
        </w:tc>
        <w:tc>
          <w:tcPr>
            <w:tcW w:type="dxa" w:w="9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中</w:t>
            </w:r>
          </w:p>
        </w:tc>
        <w:tc>
          <w:tcPr>
            <w:tcW w:type="dxa" w:w="82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中</w:t>
            </w:r>
          </w:p>
        </w:tc>
        <w:tc>
          <w:tcPr>
            <w:tcW w:type="dxa" w:w="9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强</w:t>
            </w:r>
          </w:p>
        </w:tc>
        <w:tc>
          <w:tcPr>
            <w:tcW w:type="dxa" w:w="7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中</w:t>
            </w:r>
          </w:p>
        </w:tc>
        <w:tc>
          <w:tcPr>
            <w:tcW w:type="dxa" w:w="307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可复用 federation/记忆/编排思想</w:t>
            </w:r>
          </w:p>
        </w:tc>
      </w:tr>
      <w:tr>
        <w:trPr>
          <w:cantSplit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Gas Town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开源编码 Agent Workspace</w:t>
            </w:r>
          </w:p>
        </w:tc>
        <w:tc>
          <w:tcPr>
            <w:tcW w:type="dxa" w:w="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强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弱-中</w:t>
            </w:r>
          </w:p>
        </w:tc>
        <w:tc>
          <w:tcPr>
            <w:tcW w:type="dxa" w:w="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弱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强（软件）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弱</w:t>
            </w:r>
          </w:p>
        </w:tc>
        <w:tc>
          <w:tcPr>
            <w:tcW w:type="dxa" w:w="30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适合参考状态持久化、handoff、merge queue</w:t>
            </w:r>
          </w:p>
        </w:tc>
      </w:tr>
      <w:tr>
        <w:trPr>
          <w:cantSplit/>
        </w:trPr>
        <w:tc>
          <w:tcPr>
            <w:tcW w:type="dxa" w:w="10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Microsoft Agent Framework</w:t>
            </w:r>
          </w:p>
        </w:tc>
        <w:tc>
          <w:tcPr>
            <w:tcW w:type="dxa" w:w="10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开源 Agent 框架</w:t>
            </w:r>
          </w:p>
        </w:tc>
        <w:tc>
          <w:tcPr>
            <w:tcW w:type="dxa" w:w="92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中</w:t>
            </w:r>
          </w:p>
        </w:tc>
        <w:tc>
          <w:tcPr>
            <w:tcW w:type="dxa" w:w="9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弱</w:t>
            </w:r>
          </w:p>
        </w:tc>
        <w:tc>
          <w:tcPr>
            <w:tcW w:type="dxa" w:w="82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弱</w:t>
            </w:r>
          </w:p>
        </w:tc>
        <w:tc>
          <w:tcPr>
            <w:tcW w:type="dxa" w:w="9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强</w:t>
            </w:r>
          </w:p>
        </w:tc>
        <w:tc>
          <w:tcPr>
            <w:tcW w:type="dxa" w:w="7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中-强</w:t>
            </w:r>
          </w:p>
        </w:tc>
        <w:tc>
          <w:tcPr>
            <w:tcW w:type="dxa" w:w="307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作为 runtime/编排后端之一</w:t>
            </w:r>
          </w:p>
        </w:tc>
      </w:tr>
      <w:tr>
        <w:trPr>
          <w:cantSplit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LangGraph / CrewAI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开源编排框架</w:t>
            </w:r>
          </w:p>
        </w:tc>
        <w:tc>
          <w:tcPr>
            <w:tcW w:type="dxa" w:w="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中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弱</w:t>
            </w:r>
          </w:p>
        </w:tc>
        <w:tc>
          <w:tcPr>
            <w:tcW w:type="dxa" w:w="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弱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强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中</w:t>
            </w:r>
          </w:p>
        </w:tc>
        <w:tc>
          <w:tcPr>
            <w:tcW w:type="dxa" w:w="30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底层执行框架，不是组织联邦</w:t>
            </w:r>
          </w:p>
        </w:tc>
      </w:tr>
      <w:tr>
        <w:trPr>
          <w:cantSplit/>
        </w:trPr>
        <w:tc>
          <w:tcPr>
            <w:tcW w:type="dxa" w:w="10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AgentScope / Runtime</w:t>
            </w:r>
          </w:p>
        </w:tc>
        <w:tc>
          <w:tcPr>
            <w:tcW w:type="dxa" w:w="10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开源框架+Runtime</w:t>
            </w:r>
          </w:p>
        </w:tc>
        <w:tc>
          <w:tcPr>
            <w:tcW w:type="dxa" w:w="92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中-强</w:t>
            </w:r>
          </w:p>
        </w:tc>
        <w:tc>
          <w:tcPr>
            <w:tcW w:type="dxa" w:w="9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中</w:t>
            </w:r>
          </w:p>
        </w:tc>
        <w:tc>
          <w:tcPr>
            <w:tcW w:type="dxa" w:w="82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中</w:t>
            </w:r>
          </w:p>
        </w:tc>
        <w:tc>
          <w:tcPr>
            <w:tcW w:type="dxa" w:w="9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强</w:t>
            </w:r>
          </w:p>
        </w:tc>
        <w:tc>
          <w:tcPr>
            <w:tcW w:type="dxa" w:w="7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中-强</w:t>
            </w:r>
          </w:p>
        </w:tc>
        <w:tc>
          <w:tcPr>
            <w:tcW w:type="dxa" w:w="307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可参考 Agent-as-API、沙箱、状态和评测</w:t>
            </w:r>
          </w:p>
        </w:tc>
      </w:tr>
      <w:tr>
        <w:trPr>
          <w:cantSplit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MetaGPT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开源软件多 Agent</w:t>
            </w:r>
          </w:p>
        </w:tc>
        <w:tc>
          <w:tcPr>
            <w:tcW w:type="dxa" w:w="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弱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弱</w:t>
            </w:r>
          </w:p>
        </w:tc>
        <w:tc>
          <w:tcPr>
            <w:tcW w:type="dxa" w:w="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弱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强（软件）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弱</w:t>
            </w:r>
          </w:p>
        </w:tc>
        <w:tc>
          <w:tcPr>
            <w:tcW w:type="dxa" w:w="30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参考 SOP 驱动的端到端流程</w:t>
            </w:r>
          </w:p>
        </w:tc>
      </w:tr>
      <w:tr>
        <w:trPr>
          <w:cantSplit/>
        </w:trPr>
        <w:tc>
          <w:tcPr>
            <w:tcW w:type="dxa" w:w="10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OpenAI Workspace Agents</w:t>
            </w:r>
          </w:p>
        </w:tc>
        <w:tc>
          <w:tcPr>
            <w:tcW w:type="dxa" w:w="10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闭源团队 Agent</w:t>
            </w:r>
          </w:p>
        </w:tc>
        <w:tc>
          <w:tcPr>
            <w:tcW w:type="dxa" w:w="92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弱-中</w:t>
            </w:r>
          </w:p>
        </w:tc>
        <w:tc>
          <w:tcPr>
            <w:tcW w:type="dxa" w:w="9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强</w:t>
            </w:r>
          </w:p>
        </w:tc>
        <w:tc>
          <w:tcPr>
            <w:tcW w:type="dxa" w:w="82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中</w:t>
            </w:r>
          </w:p>
        </w:tc>
        <w:tc>
          <w:tcPr>
            <w:tcW w:type="dxa" w:w="9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强</w:t>
            </w:r>
          </w:p>
        </w:tc>
        <w:tc>
          <w:tcPr>
            <w:tcW w:type="dxa" w:w="7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强</w:t>
            </w:r>
          </w:p>
        </w:tc>
        <w:tc>
          <w:tcPr>
            <w:tcW w:type="dxa" w:w="307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共享 Agent 强竞品；不等于 BYO workspace 联邦</w:t>
            </w:r>
          </w:p>
        </w:tc>
      </w:tr>
      <w:tr>
        <w:trPr>
          <w:cantSplit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Copilot Studio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闭源企业平台</w:t>
            </w:r>
          </w:p>
        </w:tc>
        <w:tc>
          <w:tcPr>
            <w:tcW w:type="dxa" w:w="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中-强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强</w:t>
            </w:r>
          </w:p>
        </w:tc>
        <w:tc>
          <w:tcPr>
            <w:tcW w:type="dxa" w:w="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弱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强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强</w:t>
            </w:r>
          </w:p>
        </w:tc>
        <w:tc>
          <w:tcPr>
            <w:tcW w:type="dxa" w:w="30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A2A 与企业集成强，生态封闭度较高</w:t>
            </w:r>
          </w:p>
        </w:tc>
      </w:tr>
      <w:tr>
        <w:trPr>
          <w:cantSplit/>
        </w:trPr>
        <w:tc>
          <w:tcPr>
            <w:tcW w:type="dxa" w:w="10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Gemini Enterprise Agent Platform</w:t>
            </w:r>
          </w:p>
        </w:tc>
        <w:tc>
          <w:tcPr>
            <w:tcW w:type="dxa" w:w="10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闭源企业平台</w:t>
            </w:r>
          </w:p>
        </w:tc>
        <w:tc>
          <w:tcPr>
            <w:tcW w:type="dxa" w:w="92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强</w:t>
            </w:r>
          </w:p>
        </w:tc>
        <w:tc>
          <w:tcPr>
            <w:tcW w:type="dxa" w:w="9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强</w:t>
            </w:r>
          </w:p>
        </w:tc>
        <w:tc>
          <w:tcPr>
            <w:tcW w:type="dxa" w:w="82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中</w:t>
            </w:r>
          </w:p>
        </w:tc>
        <w:tc>
          <w:tcPr>
            <w:tcW w:type="dxa" w:w="9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强</w:t>
            </w:r>
          </w:p>
        </w:tc>
        <w:tc>
          <w:tcPr>
            <w:tcW w:type="dxa" w:w="7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强</w:t>
            </w:r>
          </w:p>
        </w:tc>
        <w:tc>
          <w:tcPr>
            <w:tcW w:type="dxa" w:w="307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完整企业控制面标杆</w:t>
            </w:r>
          </w:p>
        </w:tc>
      </w:tr>
      <w:tr>
        <w:trPr>
          <w:cantSplit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Salesforce Agent Fabric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闭源企业控制面</w:t>
            </w:r>
          </w:p>
        </w:tc>
        <w:tc>
          <w:tcPr>
            <w:tcW w:type="dxa" w:w="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强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强</w:t>
            </w:r>
          </w:p>
        </w:tc>
        <w:tc>
          <w:tcPr>
            <w:tcW w:type="dxa" w:w="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弱-中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强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强</w:t>
            </w:r>
          </w:p>
        </w:tc>
        <w:tc>
          <w:tcPr>
            <w:tcW w:type="dxa" w:w="30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多供应商发现、治理和成本路由标杆</w:t>
            </w:r>
          </w:p>
        </w:tc>
      </w:tr>
      <w:tr>
        <w:trPr>
          <w:cantSplit/>
        </w:trPr>
        <w:tc>
          <w:tcPr>
            <w:tcW w:type="dxa" w:w="10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ServiceNow AI Agent Fabric</w:t>
            </w:r>
          </w:p>
        </w:tc>
        <w:tc>
          <w:tcPr>
            <w:tcW w:type="dxa" w:w="10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闭源流程平台</w:t>
            </w:r>
          </w:p>
        </w:tc>
        <w:tc>
          <w:tcPr>
            <w:tcW w:type="dxa" w:w="92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强</w:t>
            </w:r>
          </w:p>
        </w:tc>
        <w:tc>
          <w:tcPr>
            <w:tcW w:type="dxa" w:w="9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强</w:t>
            </w:r>
          </w:p>
        </w:tc>
        <w:tc>
          <w:tcPr>
            <w:tcW w:type="dxa" w:w="82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弱</w:t>
            </w:r>
          </w:p>
        </w:tc>
        <w:tc>
          <w:tcPr>
            <w:tcW w:type="dxa" w:w="9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强</w:t>
            </w:r>
          </w:p>
        </w:tc>
        <w:tc>
          <w:tcPr>
            <w:tcW w:type="dxa" w:w="7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强</w:t>
            </w:r>
          </w:p>
        </w:tc>
        <w:tc>
          <w:tcPr>
            <w:tcW w:type="dxa" w:w="307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业务工作流和跨部门 Agent 编排标杆</w:t>
            </w:r>
          </w:p>
        </w:tc>
      </w:tr>
      <w:tr>
        <w:trPr>
          <w:cantSplit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FoA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论文/原型</w:t>
            </w:r>
          </w:p>
        </w:tc>
        <w:tc>
          <w:tcPr>
            <w:tcW w:type="dxa" w:w="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概念上强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弱</w:t>
            </w:r>
          </w:p>
        </w:tc>
        <w:tc>
          <w:tcPr>
            <w:tcW w:type="dxa" w:w="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中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强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中</w:t>
            </w:r>
          </w:p>
        </w:tc>
        <w:tc>
          <w:tcPr>
            <w:tcW w:type="dxa" w:w="30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能力向量、语义路由和动态 DAG 直接相关</w:t>
            </w:r>
          </w:p>
        </w:tc>
      </w:tr>
      <w:tr>
        <w:trPr>
          <w:cantSplit/>
        </w:trPr>
        <w:tc>
          <w:tcPr>
            <w:tcW w:type="dxa" w:w="10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FederatedSkill</w:t>
            </w:r>
          </w:p>
        </w:tc>
        <w:tc>
          <w:tcPr>
            <w:tcW w:type="dxa" w:w="10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论文/算法</w:t>
            </w:r>
          </w:p>
        </w:tc>
        <w:tc>
          <w:tcPr>
            <w:tcW w:type="dxa" w:w="92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不关注</w:t>
            </w:r>
          </w:p>
        </w:tc>
        <w:tc>
          <w:tcPr>
            <w:tcW w:type="dxa" w:w="9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强</w:t>
            </w:r>
          </w:p>
        </w:tc>
        <w:tc>
          <w:tcPr>
            <w:tcW w:type="dxa" w:w="82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强</w:t>
            </w:r>
          </w:p>
        </w:tc>
        <w:tc>
          <w:tcPr>
            <w:tcW w:type="dxa" w:w="9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弱</w:t>
            </w:r>
          </w:p>
        </w:tc>
        <w:tc>
          <w:tcPr>
            <w:tcW w:type="dxa" w:w="7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中</w:t>
            </w:r>
          </w:p>
        </w:tc>
        <w:tc>
          <w:tcPr>
            <w:tcW w:type="dxa" w:w="307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直接覆盖跨用户 Skill 演化，必须作为强基线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SC Thin" w:hAnsi="Noto Sans SC Thin" w:eastAsia="Noto Sans SC Thin"/>
        </w:rPr>
        <w:t>3.2 最接近的开源项目</w:t>
      </w:r>
    </w:p>
    <w:p>
      <w:pPr>
        <w:pStyle w:val="Heading3"/>
        <w:keepNext/>
      </w:pPr>
      <w:r>
        <w:rPr>
          <w:rFonts w:ascii="Noto Sans SC Thin" w:hAnsi="Noto Sans SC Thin" w:eastAsia="Noto Sans SC Thin"/>
        </w:rPr>
        <w:t>OpenAgents：共享工作空间入口已经存在</w:t>
      </w:r>
    </w:p>
    <w:p>
      <w:pPr>
        <w:spacing w:before="0" w:after="120" w:line="274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1"/>
        </w:rPr>
        <w:t>OpenAgents 把自己定位为“AI Agent 的协作 OS”，提供持久化共享 workspace、频道/线程/文件/浏览器，并通过 Launcher 安装和运行 Claude、Aider、Codex 等本地 Agent，再用 token 接入 workspace。[1][4] 这与百工目标 1 高度重合，也覆盖基础的 Agent 协作。</w:t>
      </w:r>
    </w:p>
    <w:p>
      <w:pPr>
        <w:spacing w:before="0" w:after="120" w:line="274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1"/>
        </w:rPr>
        <w:t>公开文档的重心仍是 Agent pool、消息、共享文件和运行管理；尚未形成跨所有者的能力版本供应链、负迁移防护、贡献归因，以及以真实端到端任务驱动的组织能力演化。百工不应与它竞争“Agent Slack”，而要建立可插拔在任何协作表面之上的组织能力层。</w:t>
      </w:r>
    </w:p>
    <w:p>
      <w:pPr>
        <w:pStyle w:val="Heading3"/>
        <w:keepNext/>
      </w:pPr>
      <w:r>
        <w:rPr>
          <w:rFonts w:ascii="Noto Sans SC Thin" w:hAnsi="Noto Sans SC Thin" w:eastAsia="Noto Sans SC Thin"/>
        </w:rPr>
        <w:t>Ruflo：Agent federation 与 meta-harness</w:t>
      </w:r>
    </w:p>
    <w:p>
      <w:pPr>
        <w:spacing w:before="0" w:after="120" w:line="274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1"/>
        </w:rPr>
        <w:t>Ruflo 已明确提出跨机器、组织或云区域的共享工作空间、Agent 发现、身份/信任和协作，并包含 swarm、持久记忆、plugins、MCP hooks 等能力。[2] 其方向和百工的联邦层接近。百工需要用“多所有者模型 + 能力供应链 + 组织学习 Benchmark”建立更清晰的研究边界。</w:t>
      </w:r>
    </w:p>
    <w:p>
      <w:pPr>
        <w:pStyle w:val="Heading3"/>
        <w:keepNext/>
      </w:pPr>
      <w:r>
        <w:rPr>
          <w:rFonts w:ascii="Noto Sans SC Thin" w:hAnsi="Noto Sans SC Thin" w:eastAsia="Noto Sans SC Thin"/>
        </w:rPr>
        <w:t>Gas Town：编码 Agent 长任务状态管理标杆</w:t>
      </w:r>
    </w:p>
    <w:p>
      <w:pPr>
        <w:spacing w:before="0" w:after="120" w:line="274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1"/>
        </w:rPr>
        <w:t>Gas Town 支持 Claude、Copilot、Codex、Gemini 等编码 Agent，通过 Town/Rig/Crew/Polecat 结构、git-backed hooks、Beads ledger、mailbox、handoff 和 merge queue 持久化工作状态，可扩展到多个并发 Agent。[3][5] 其优势在软件工程闭环，但 Agent 仍主要处于同一操作者或同一代码组织下，且 worker 共享文件系统带来安全边界问题。</w:t>
      </w:r>
    </w:p>
    <w:p>
      <w:pPr>
        <w:pStyle w:val="Heading3"/>
        <w:keepNext/>
      </w:pPr>
      <w:r>
        <w:rPr>
          <w:rFonts w:ascii="Noto Sans SC Thin" w:hAnsi="Noto Sans SC Thin" w:eastAsia="Noto Sans SC Thin"/>
        </w:rPr>
        <w:t>AgentScope、Microsoft Agent Framework 与通用编排框架</w:t>
      </w:r>
    </w:p>
    <w:p>
      <w:pPr>
        <w:spacing w:before="0" w:after="120" w:line="274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1"/>
        </w:rPr>
        <w:t>Microsoft Agent Framework 已成为 AutoGen 与 Semantic Kernel 合并后的主框架，提供顺序、并行、handoff、group collaboration、可恢复执行、可观测性和 human-in-the-loop。[6] LangGraph 侧重长运行、有状态图；CrewAI 侧重角色化 Crew 和流程；AgentScope/Runtime 提供 Agent-as-API、沙箱、状态、跨框架部署和多 Agent 消息机制。[7][8][9] 它们适合作为百工执行后端，而不是被百工重新实现。</w:t>
      </w:r>
    </w:p>
    <w:p>
      <w:pPr>
        <w:pStyle w:val="Heading2"/>
        <w:keepNext/>
      </w:pPr>
      <w:r>
        <w:rPr>
          <w:rFonts w:ascii="Noto Sans SC Thin" w:hAnsi="Noto Sans SC Thin" w:eastAsia="Noto Sans SC Thin"/>
        </w:rPr>
        <w:t>3.3 企业闭源平台</w:t>
      </w:r>
    </w:p>
    <w:p>
      <w:pPr>
        <w:spacing w:before="0" w:after="120" w:line="274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1"/>
        </w:rPr>
        <w:t>企业平台正在迅速把“多 Agent 控制面”商品化。OpenAI Workspace Agents 支持团队创建、共享、定时运行并持续改进云端 Agent；Copilot Studio 已支持 Agent 间委派和 A2A；Gemini Enterprise Agent Platform 提供 Agent Studio、Registry、Identity、Gateway、Observability 与治理；Salesforce Agent Fabric 强调多供应商 Agent 发现、LLM 治理、成本和风险优化；ServiceNow AI Agent Fabric 则把第三方 Agent 嵌入企业工作流。[10][11][12][13][28]</w:t>
      </w:r>
    </w:p>
    <w:p>
      <w:pPr>
        <w:spacing w:before="0" w:after="120" w:line="274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1"/>
        </w:rPr>
        <w:t>这些平台证明企业需求真实存在，但也留下开源机会：个人 Agent 的“携带入组”、跨供应商 workspace 自治、可移植能力包、社区治理和可复现实验，不是其主要开放接口。</w:t>
      </w:r>
    </w:p>
    <w:p>
      <w:pPr>
        <w:pStyle w:val="Heading2"/>
        <w:keepNext/>
      </w:pPr>
      <w:r>
        <w:rPr>
          <w:rFonts w:ascii="Noto Sans SC Thin" w:hAnsi="Noto Sans SC Thin" w:eastAsia="Noto Sans SC Thin"/>
        </w:rPr>
        <w:t>3.4 协议层：应复用而非重造</w:t>
      </w:r>
    </w:p>
    <w:p>
      <w:pPr>
        <w:spacing w:before="0" w:after="120" w:line="274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1"/>
        </w:rPr>
        <w:t>A2A 1.0 已支持异构环境、多租户、签名 Agent Card、能力发现、状态化 Task、Message 和 Artifact；MCP 则标准化 Resources、Prompts 和 Tools。[14][15] 百工应增加的是“所有权、能力供应链和组织任务语义”，可以通过 A2A Extension、Capability Manifest 和独立控制面实现，而不是另造消息传输协议。</w:t>
      </w:r>
    </w:p>
    <w:p>
      <w:pPr>
        <w:pStyle w:val="Heading1"/>
        <w:keepNext/>
      </w:pPr>
      <w:r>
        <w:rPr>
          <w:rFonts w:ascii="Noto Sans SC Thin" w:hAnsi="Noto Sans SC Thin" w:eastAsia="Noto Sans SC Thin"/>
        </w:rPr>
        <w:t>4. 技术论文与研究脉络</w:t>
      </w:r>
    </w:p>
    <w:p>
      <w:pPr>
        <w:pStyle w:val="Heading2"/>
        <w:keepNext/>
      </w:pPr>
      <w:r>
        <w:rPr>
          <w:rFonts w:ascii="Noto Sans SC Thin" w:hAnsi="Noto Sans SC Thin" w:eastAsia="Noto Sans SC Thin"/>
        </w:rPr>
        <w:t>4.1 多 Agent 编排与软件工程</w:t>
      </w:r>
    </w:p>
    <w:p>
      <w:pPr>
        <w:spacing w:before="0" w:after="120" w:line="274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1"/>
        </w:rPr>
        <w:t>AutoGen 以多 Agent conversation 组织协作；AgentScope 以消息交换为核心；MetaGPT 将人类软件 SOP 编码进多 Agent 流程；MultiAgentBench 则从任务完成扩展到协作质量，并比较星型、链型、树型和图型拓扑。[16][17][20][21] 这些工作回答“多个 Agent 如何协作”，但通常假设它们由同一系统配置。</w:t>
      </w:r>
    </w:p>
    <w:p>
      <w:pPr>
        <w:pStyle w:val="Heading2"/>
        <w:keepNext/>
      </w:pPr>
      <w:r>
        <w:rPr>
          <w:rFonts w:ascii="Noto Sans SC Thin" w:hAnsi="Noto Sans SC Thin" w:eastAsia="Noto Sans SC Thin"/>
        </w:rPr>
        <w:t>4.2 联邦、能力发现与去中心化</w:t>
      </w:r>
    </w:p>
    <w:p>
      <w:pPr>
        <w:spacing w:before="0" w:after="120" w:line="274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1"/>
        </w:rPr>
        <w:t>Federation of Agents（FoA）提出 Versioned Capability Vectors，使 Agent 的能力、成本、限制和安全标签可检索，并以语义路由、协商式任务分解和动态集群完成任务 DAG。[18] AgentNet 则探索去中心化拓扑、自适应专业化和基于检索的能力演进。[22] 这两类研究与百工的能力路由直接相关。</w:t>
      </w:r>
    </w:p>
    <w:p>
      <w:pPr>
        <w:pStyle w:val="Heading2"/>
        <w:keepNext/>
      </w:pPr>
      <w:r>
        <w:rPr>
          <w:rFonts w:ascii="Noto Sans SC Thin" w:hAnsi="Noto Sans SC Thin" w:eastAsia="Noto Sans SC Thin"/>
        </w:rPr>
        <w:t>4.3 跨用户 Skill 演化</w:t>
      </w:r>
    </w:p>
    <w:p>
      <w:pPr>
        <w:spacing w:before="0" w:after="120" w:line="274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1"/>
        </w:rPr>
        <w:t>FederatedSkill 是最关键的直接相关工作。它不共享原始轨迹，而是交换 local skill library 的 semantic skill diffs，由 evolution agent 聚合并为不同客户端进行个性化能力演化；在 20 类任务上，论文报告最高 44.4% 的成功率提升和 37.5% 的计算成本下降。[19]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0E3"/>
          </w:tcPr>
          <w:p>
            <w:pPr>
              <w:spacing w:before="0" w:after="60" w:line="269" w:lineRule="auto"/>
            </w:pPr>
            <w:r>
              <w:rPr>
                <w:rFonts w:ascii="Noto Sans SC Thin" w:hAnsi="Noto Sans SC Thin" w:eastAsia="Noto Sans SC Thin"/>
                <w:b/>
                <w:i w:val="0"/>
                <w:color w:val="A87924"/>
                <w:sz w:val="21"/>
              </w:rPr>
              <w:t xml:space="preserve">对论文选题的影响  </w:t>
            </w: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21"/>
              </w:rPr>
              <w:t>百工不能再把“多人之间传播 Skill”作为唯一创新。应将 FederatedSkill 作为能力演化算法基线，研究它没有覆盖的多所有者身份/权限、异构 workspace 接入、能力验证供应链、跨 Agent 组合、端到端任务闭环和组织学习。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SC Thin" w:hAnsi="Noto Sans SC Thin" w:eastAsia="Noto Sans SC Thin"/>
        </w:rPr>
        <w:t>4.4 人与多 Agent 协作及评测</w:t>
      </w:r>
    </w:p>
    <w:p>
      <w:pPr>
        <w:spacing w:before="0" w:after="120" w:line="274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1"/>
        </w:rPr>
        <w:t>LLM Human-Agent Systems 综述将人类反馈、控制、协作与协调作为独立研究对象；近期研究也指出，编码 Agent 在部分信息、自由协作和可靠交接下仍难成为真正队友。[23][24] EntCollabBench 已模拟 11 个角色、6 个部门和权限隔离的企业多 Agent 协作，为百工的组织级评测提供了接近的公开基线。[29]</w:t>
      </w:r>
    </w:p>
    <w:p>
      <w:pPr>
        <w:pStyle w:val="Heading2"/>
        <w:keepNext/>
      </w:pPr>
      <w:r>
        <w:rPr>
          <w:rFonts w:ascii="Noto Sans SC Thin" w:hAnsi="Noto Sans SC Thin" w:eastAsia="Noto Sans SC Thin"/>
        </w:rPr>
        <w:t>4.5 研究缺口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50"/>
        <w:gridCol w:w="2200"/>
        <w:gridCol w:w="3000"/>
        <w:gridCol w:w="2710"/>
      </w:tblGrid>
      <w:tr>
        <w:trPr>
          <w:tblHeader w:val="true"/>
        </w:trPr>
        <w:tc>
          <w:tcPr>
            <w:tcW w:type="dxa" w:w="145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5"/>
              </w:rPr>
              <w:t>研究问题</w:t>
            </w:r>
          </w:p>
        </w:tc>
        <w:tc>
          <w:tcPr>
            <w:tcW w:type="dxa" w:w="220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5"/>
              </w:rPr>
              <w:t>现有工作已覆盖</w:t>
            </w:r>
          </w:p>
        </w:tc>
        <w:tc>
          <w:tcPr>
            <w:tcW w:type="dxa" w:w="300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5"/>
              </w:rPr>
              <w:t>仍未充分解决</w:t>
            </w:r>
          </w:p>
        </w:tc>
        <w:tc>
          <w:tcPr>
            <w:tcW w:type="dxa" w:w="271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5"/>
              </w:rPr>
              <w:t>百工机会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异构 Agent 互联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A2A、MCP、OpenAgents、FoA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个人 workspace 的状态、权限与所有者语义</w:t>
            </w:r>
          </w:p>
        </w:tc>
        <w:tc>
          <w:tcPr>
            <w:tcW w:type="dxa" w:w="2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Workspace Manifest + Owner Boundary</w:t>
            </w:r>
          </w:p>
        </w:tc>
      </w:tr>
      <w:tr>
        <w:trPr>
          <w:cantSplit/>
        </w:trPr>
        <w:tc>
          <w:tcPr>
            <w:tcW w:type="dxa" w:w="14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Skill 共享</w:t>
            </w:r>
          </w:p>
        </w:tc>
        <w:tc>
          <w:tcPr>
            <w:tcW w:type="dxa" w:w="22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Skill registry、FederatedSkill</w:t>
            </w:r>
          </w:p>
        </w:tc>
        <w:tc>
          <w:tcPr>
            <w:tcW w:type="dxa" w:w="30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可执行依赖、验证、负迁移、回滚、责任与许可证</w:t>
            </w:r>
          </w:p>
        </w:tc>
        <w:tc>
          <w:tcPr>
            <w:tcW w:type="dxa" w:w="271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Verified Capability Supply Chain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任务编排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LangGraph、MAF、MetaGPT、FoA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跨所有者任务契约、验收和失败责任归因</w:t>
            </w:r>
          </w:p>
        </w:tc>
        <w:tc>
          <w:tcPr>
            <w:tcW w:type="dxa" w:w="2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Owner-aware Task Fabric</w:t>
            </w:r>
          </w:p>
        </w:tc>
      </w:tr>
      <w:tr>
        <w:trPr>
          <w:cantSplit/>
        </w:trPr>
        <w:tc>
          <w:tcPr>
            <w:tcW w:type="dxa" w:w="14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企业治理</w:t>
            </w:r>
          </w:p>
        </w:tc>
        <w:tc>
          <w:tcPr>
            <w:tcW w:type="dxa" w:w="22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Google、Microsoft、Salesforce、ServiceNow</w:t>
            </w:r>
          </w:p>
        </w:tc>
        <w:tc>
          <w:tcPr>
            <w:tcW w:type="dxa" w:w="30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开源、跨平台、可移植的最小披露治理</w:t>
            </w:r>
          </w:p>
        </w:tc>
        <w:tc>
          <w:tcPr>
            <w:tcW w:type="dxa" w:w="271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Open Governance Plane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持续学习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AgentNet、FederatedSkill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从真实组织任务到可审计能力资产的闭环</w:t>
            </w:r>
          </w:p>
        </w:tc>
        <w:tc>
          <w:tcPr>
            <w:tcW w:type="dxa" w:w="2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Task-to-Capability Flywheel</w:t>
            </w:r>
          </w:p>
        </w:tc>
      </w:tr>
      <w:tr>
        <w:trPr>
          <w:cantSplit/>
        </w:trPr>
        <w:tc>
          <w:tcPr>
            <w:tcW w:type="dxa" w:w="14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系统评测</w:t>
            </w:r>
          </w:p>
        </w:tc>
        <w:tc>
          <w:tcPr>
            <w:tcW w:type="dxa" w:w="22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MultiAgentBench、EntCollabBench</w:t>
            </w:r>
          </w:p>
        </w:tc>
        <w:tc>
          <w:tcPr>
            <w:tcW w:type="dxa" w:w="30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多 workspace 冷启动、技能迁移和人际协调成本</w:t>
            </w:r>
          </w:p>
        </w:tc>
        <w:tc>
          <w:tcPr>
            <w:tcW w:type="dxa" w:w="271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MOMAS-Bench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SC Thin" w:hAnsi="Noto Sans SC Thin" w:eastAsia="Noto Sans SC Thin"/>
        </w:rPr>
        <w:t>5. 百工产品架构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080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9" w:lineRule="auto"/>
        <w:jc w:val="center"/>
      </w:pPr>
      <w:r>
        <w:rPr>
          <w:rFonts w:ascii="Noto Sans SC Thin" w:hAnsi="Noto Sans SC Thin" w:eastAsia="Noto Sans SC Thin"/>
          <w:b w:val="0"/>
          <w:i/>
          <w:color w:val="60717C"/>
          <w:sz w:val="17"/>
        </w:rPr>
        <w:t>图 2｜百工七层联邦协作架构</w:t>
      </w:r>
    </w:p>
    <w:p>
      <w:pPr>
        <w:pStyle w:val="Heading2"/>
        <w:keepNext/>
      </w:pPr>
      <w:r>
        <w:rPr>
          <w:rFonts w:ascii="Noto Sans SC Thin" w:hAnsi="Noto Sans SC Thin" w:eastAsia="Noto Sans SC Thin"/>
        </w:rPr>
        <w:t>5.1 工境：个人工作空间边缘节点</w:t>
      </w:r>
    </w:p>
    <w:p>
      <w:pPr>
        <w:spacing w:before="0" w:after="120" w:line="274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1"/>
        </w:rPr>
        <w:t>每位成员保留现有 Agent 和工作方式。百工 CLI/Daemon 只读取经授权的配置元数据，生成 Workspace Manifest，并将可调用能力封装为本地代理。代码、原始记忆、凭据和未授权文件默认不离开工作空间。</w:t>
      </w:r>
    </w:p>
    <w:p>
      <w:pPr>
        <w:pStyle w:val="ListBullet"/>
        <w:spacing w:before="0" w:after="60" w:line="259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首批 Adapter：Codex、Claude Code、OpenCode、通用 Shell Agent；第二批接 Harness、Gemini CLI、AgentScope/MAF。</w:t>
      </w:r>
    </w:p>
    <w:p>
      <w:pPr>
        <w:pStyle w:val="ListBullet"/>
        <w:spacing w:before="0" w:after="60" w:line="259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支持三种接入深度：Metadata-only、Delegated Execution、Managed Runtime。</w:t>
      </w:r>
    </w:p>
    <w:p>
      <w:pPr>
        <w:pStyle w:val="ListBullet"/>
        <w:spacing w:before="0" w:after="60" w:line="259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workspace 可以随时离线、撤回能力或将某项能力降为仅本地使用。</w:t>
      </w:r>
    </w:p>
    <w:p>
      <w:pPr>
        <w:pStyle w:val="Heading2"/>
        <w:keepNext/>
      </w:pPr>
      <w:r>
        <w:rPr>
          <w:rFonts w:ascii="Noto Sans SC Thin" w:hAnsi="Noto Sans SC Thin" w:eastAsia="Noto Sans SC Thin"/>
        </w:rPr>
        <w:t>5.2 工契：联邦契约</w:t>
      </w:r>
    </w:p>
    <w:p>
      <w:pPr>
        <w:spacing w:before="0" w:after="120" w:line="274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1"/>
        </w:rPr>
        <w:t>工契把 Agent 通信协议和组织语义连接起来。A2A Agent Card 描述 Agent，MCP 描述工具与数据；百工额外描述 owner、workspace、share policy、execution boundary、evidence requirement、cost budget、license 和 revocation。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300"/>
        <w:gridCol w:w="3900"/>
        <w:gridCol w:w="4160"/>
      </w:tblGrid>
      <w:tr>
        <w:trPr>
          <w:tblHeader w:val="true"/>
        </w:trPr>
        <w:tc>
          <w:tcPr>
            <w:tcW w:type="dxa" w:w="130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390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关键字段</w:t>
            </w:r>
          </w:p>
        </w:tc>
        <w:tc>
          <w:tcPr>
            <w:tcW w:type="dxa" w:w="416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Owner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id / org / role / trust / approval policy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明确人和责任边界</w:t>
            </w:r>
          </w:p>
        </w:tc>
      </w:tr>
      <w:tr>
        <w:trPr>
          <w:cantSplit/>
        </w:trPr>
        <w:tc>
          <w:tcPr>
            <w:tcW w:type="dxa" w:w="13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Workspace</w:t>
            </w:r>
          </w:p>
        </w:tc>
        <w:tc>
          <w:tcPr>
            <w:tcW w:type="dxa" w:w="39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runtime / endpoint / data boundary / availability</w:t>
            </w:r>
          </w:p>
        </w:tc>
        <w:tc>
          <w:tcPr>
            <w:tcW w:type="dxa" w:w="416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定义 Agent 的实际执行域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Capability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schema / dependency / policy / benchmark / version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支持发现、组合和验证</w:t>
            </w:r>
          </w:p>
        </w:tc>
      </w:tr>
      <w:tr>
        <w:trPr>
          <w:cantSplit/>
        </w:trPr>
        <w:tc>
          <w:tcPr>
            <w:tcW w:type="dxa" w:w="13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Task Contract</w:t>
            </w:r>
          </w:p>
        </w:tc>
        <w:tc>
          <w:tcPr>
            <w:tcW w:type="dxa" w:w="39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input / output / DoD / budget / evidence / deadline</w:t>
            </w:r>
          </w:p>
        </w:tc>
        <w:tc>
          <w:tcPr>
            <w:tcW w:type="dxa" w:w="416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跨 workspace 可验收委派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Artifact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hash / lineage / license / sensitivity / producer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交付和证据追踪</w:t>
            </w:r>
          </w:p>
        </w:tc>
      </w:tr>
      <w:tr>
        <w:trPr>
          <w:cantSplit/>
        </w:trPr>
        <w:tc>
          <w:tcPr>
            <w:tcW w:type="dxa" w:w="13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Capability Diff</w:t>
            </w:r>
          </w:p>
        </w:tc>
        <w:tc>
          <w:tcPr>
            <w:tcW w:type="dxa" w:w="39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base / patch / tests / provenance / target profile</w:t>
            </w:r>
          </w:p>
        </w:tc>
        <w:tc>
          <w:tcPr>
            <w:tcW w:type="dxa" w:w="416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安全传播和个性化适配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SC Thin" w:hAnsi="Noto Sans SC Thin" w:eastAsia="Noto Sans SC Thin"/>
        </w:rPr>
        <w:t>5.3 工谱：能力不是文件，而是可验证资产</w:t>
      </w:r>
    </w:p>
    <w:p>
      <w:pPr>
        <w:spacing w:before="0" w:after="120" w:line="274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1"/>
        </w:rPr>
        <w:t>能力对象统一覆盖 Skill、Plugin、MCP、Agent、Prompt、Workflow、Evaluator 和 Policy。每个能力必须同时具有“声明能力”和“实证能力”：声明来自描述和 schema，实证来自历史任务、基准、成本、失败模式和适用边界。</w:t>
      </w:r>
    </w:p>
    <w:p>
      <w:pPr>
        <w:spacing w:before="0" w:after="120" w:line="274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1"/>
        </w:rPr>
        <w:t>路由得分不应只看 embedding 相似度，而应联合考虑：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5F4"/>
          </w:tcPr>
          <w:p>
            <w:pPr>
              <w:spacing w:before="0" w:after="60" w:line="269" w:lineRule="auto"/>
            </w:pPr>
            <w:r>
              <w:rPr>
                <w:rFonts w:ascii="Noto Sans SC Thin" w:hAnsi="Noto Sans SC Thin" w:eastAsia="Noto Sans SC Thin"/>
                <w:b/>
                <w:i w:val="0"/>
                <w:color w:val="183B56"/>
                <w:sz w:val="21"/>
              </w:rPr>
              <w:t xml:space="preserve">Capability Score  </w:t>
            </w: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21"/>
              </w:rPr>
              <w:t>Score(c,t,o) = α·SemanticFit + β·VerifiedSuccess + γ·OwnerTrust + δ·LocalCompatibility − λ·Cost − μ·Risk − ν·NegativeTransfer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SC Thin" w:hAnsi="Noto Sans SC Thin" w:eastAsia="Noto Sans SC Thin"/>
        </w:rPr>
        <w:t>5.4 工流：端到端任务闭环</w:t>
      </w:r>
    </w:p>
    <w:p>
      <w:pPr>
        <w:spacing w:before="0" w:after="80" w:line="264" w:lineRule="auto"/>
        <w:ind w:left="317" w:hanging="317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 xml:space="preserve">1.  </w:t>
      </w: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目标澄清：提取主要矛盾、边界和最终可验收结果。</w:t>
      </w:r>
    </w:p>
    <w:p>
      <w:pPr>
        <w:spacing w:before="0" w:after="80" w:line="264" w:lineRule="auto"/>
        <w:ind w:left="317" w:hanging="317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 xml:space="preserve">2.  </w:t>
      </w: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能力盘点：在组织工谱中检索候选 Agent/Skill，并检查权限和可用性。</w:t>
      </w:r>
    </w:p>
    <w:p>
      <w:pPr>
        <w:spacing w:before="0" w:after="80" w:line="264" w:lineRule="auto"/>
        <w:ind w:left="317" w:hanging="317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 xml:space="preserve">3.  </w:t>
      </w: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任务成图：由 Planner 与候选 Agent 共同提出分解，合并成带 DoD 的 DAG。</w:t>
      </w:r>
    </w:p>
    <w:p>
      <w:pPr>
        <w:spacing w:before="0" w:after="80" w:line="264" w:lineRule="auto"/>
        <w:ind w:left="317" w:hanging="317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 xml:space="preserve">4.  </w:t>
      </w: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跨境委派：向不同 workspace 发出 Task Contract，而不是传递完整上下文。</w:t>
      </w:r>
    </w:p>
    <w:p>
      <w:pPr>
        <w:spacing w:before="0" w:after="80" w:line="264" w:lineRule="auto"/>
        <w:ind w:left="317" w:hanging="317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 xml:space="preserve">5.  </w:t>
      </w: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执行与证据：每个节点产生 artifact、日志摘要、测试和来源信息。</w:t>
      </w:r>
    </w:p>
    <w:p>
      <w:pPr>
        <w:spacing w:before="0" w:after="80" w:line="264" w:lineRule="auto"/>
        <w:ind w:left="317" w:hanging="317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 xml:space="preserve">6.  </w:t>
      </w: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验收与重规划：不合格时判断是执行失败、能力错配还是任务定义错误。</w:t>
      </w:r>
    </w:p>
    <w:p>
      <w:pPr>
        <w:spacing w:before="0" w:after="80" w:line="264" w:lineRule="auto"/>
        <w:ind w:left="317" w:hanging="317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 xml:space="preserve">7.  </w:t>
      </w: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能力沉淀：从成功和失败轨迹中产生 Capability Diff，经工验流程后进入组织能力库。</w:t>
      </w:r>
    </w:p>
    <w:p>
      <w:pPr>
        <w:pStyle w:val="Heading2"/>
        <w:keepNext/>
      </w:pPr>
      <w:r>
        <w:rPr>
          <w:rFonts w:ascii="Noto Sans SC Thin" w:hAnsi="Noto Sans SC Thin" w:eastAsia="Noto Sans SC Thin"/>
        </w:rPr>
        <w:t>5.5 工验：经过验证的能力供应链</w:t>
      </w:r>
    </w:p>
    <w:p>
      <w:pPr>
        <w:spacing w:before="0" w:after="120" w:line="274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1"/>
        </w:rPr>
        <w:t>Skill 广播不能等价于自动安装。一个对 A 有效的 Skill 可能依赖 A 的目录结构、工具权限、模型特性或隐含数据，对 B 造成负迁移甚至安全问题。百工将能力传播设计成软件供应链：</w:t>
      </w:r>
    </w:p>
    <w:p>
      <w:pPr>
        <w:pStyle w:val="ListBullet"/>
        <w:spacing w:before="0" w:after="60" w:line="259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Extract：从任务轨迹提炼最小、可解释的能力差分。</w:t>
      </w:r>
    </w:p>
    <w:p>
      <w:pPr>
        <w:pStyle w:val="ListBullet"/>
        <w:spacing w:before="0" w:after="60" w:line="259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Package：声明依赖、输入输出、适用范围、许可证和敏感级别。</w:t>
      </w:r>
    </w:p>
    <w:p>
      <w:pPr>
        <w:pStyle w:val="ListBullet"/>
        <w:spacing w:before="0" w:after="60" w:line="259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Verify：在标准沙箱和来源 workspace 上运行测试与反例。</w:t>
      </w:r>
    </w:p>
    <w:p>
      <w:pPr>
        <w:pStyle w:val="ListBullet"/>
        <w:spacing w:before="0" w:after="60" w:line="259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Policy Gate：检查数据泄露、权限升级、恶意指令和许可证冲突。</w:t>
      </w:r>
    </w:p>
    <w:p>
      <w:pPr>
        <w:pStyle w:val="ListBullet"/>
        <w:spacing w:before="0" w:after="60" w:line="259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Adapt：根据目标 workspace 的模型、工具和目录进行个性化改写。</w:t>
      </w:r>
    </w:p>
    <w:p>
      <w:pPr>
        <w:pStyle w:val="ListBullet"/>
        <w:spacing w:before="0" w:after="60" w:line="259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Canary：只对小比例任务启用，比较成功率、成本和负迁移。</w:t>
      </w:r>
    </w:p>
    <w:p>
      <w:pPr>
        <w:pStyle w:val="ListBullet"/>
        <w:spacing w:before="0" w:after="60" w:line="259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Promote/Rollback：达到门槛后晋级，出现退化则自动回滚。</w:t>
      </w:r>
    </w:p>
    <w:p>
      <w:pPr>
        <w:pStyle w:val="Heading2"/>
        <w:keepNext/>
      </w:pPr>
      <w:r>
        <w:rPr>
          <w:rFonts w:ascii="Noto Sans SC Thin" w:hAnsi="Noto Sans SC Thin" w:eastAsia="Noto Sans SC Thin"/>
        </w:rPr>
        <w:t>5.6 工名与工枢：治理与组织运营</w:t>
      </w:r>
    </w:p>
    <w:p>
      <w:pPr>
        <w:spacing w:before="0" w:after="120" w:line="274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1"/>
        </w:rPr>
        <w:t>每次任务、能力更新和 Agent 委派都形成可追踪 lineage。贡献度不能只按消息或 Token 计算，而应按“对最终验收结果的边际贡献、被复用次数、质量提升和风险承担”计算。控制面面向企业时，应提供项目、权限、任务、成本、能力健康度、人员/Agent 负载、失败原因和组织学习曲线。</w:t>
      </w:r>
    </w:p>
    <w:p>
      <w:pPr>
        <w:pStyle w:val="Heading1"/>
        <w:keepNext/>
      </w:pPr>
      <w:r>
        <w:rPr>
          <w:rFonts w:ascii="Noto Sans SC Thin" w:hAnsi="Noto Sans SC Thin" w:eastAsia="Noto Sans SC Thin"/>
        </w:rPr>
        <w:t>6. MVP 与产品路线</w:t>
      </w:r>
    </w:p>
    <w:p>
      <w:pPr>
        <w:pStyle w:val="Heading2"/>
        <w:keepNext/>
      </w:pPr>
      <w:r>
        <w:rPr>
          <w:rFonts w:ascii="Noto Sans SC Thin" w:hAnsi="Noto Sans SC Thin" w:eastAsia="Noto Sans SC Thin"/>
        </w:rPr>
        <w:t>6.1 推荐切口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3F1"/>
          </w:tcPr>
          <w:p>
            <w:pPr>
              <w:spacing w:before="0" w:after="60" w:line="269" w:lineRule="auto"/>
            </w:pPr>
            <w:r>
              <w:rPr>
                <w:rFonts w:ascii="Noto Sans SC Thin" w:hAnsi="Noto Sans SC Thin" w:eastAsia="Noto Sans SC Thin"/>
                <w:b/>
                <w:i w:val="0"/>
                <w:color w:val="0D6B67"/>
                <w:sz w:val="21"/>
              </w:rPr>
              <w:t xml:space="preserve">首个可验证场景  </w:t>
            </w: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21"/>
              </w:rPr>
              <w:t>3–10 人软件/技术产品团队，将各自的 Codex、Claude Code、OpenCode 或 Shell Agent 接入百工，从一份需求完成设计、开发、测试、评审、文档和交付，并把任务经验转化为可复用能力。</w:t>
            </w:r>
          </w:p>
        </w:tc>
      </w:tr>
    </w:tbl>
    <w:p>
      <w:pPr>
        <w:spacing w:after="0"/>
      </w:pPr>
    </w:p>
    <w:p>
      <w:pPr>
        <w:spacing w:before="0" w:after="120" w:line="274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1"/>
        </w:rPr>
        <w:t>这个切口同时满足：交付物可验证、Agent 工具成熟、跨人协作痛点真实、开源社区易试用、可形成公开 Benchmark。相比一开始覆盖市场、销售、财务等企业运营，软件工程更容易建立确定性验收和失败归因。</w:t>
      </w:r>
    </w:p>
    <w:p>
      <w:pPr>
        <w:pStyle w:val="Heading2"/>
        <w:keepNext/>
      </w:pPr>
      <w:r>
        <w:rPr>
          <w:rFonts w:ascii="Noto Sans SC Thin" w:hAnsi="Noto Sans SC Thin" w:eastAsia="Noto Sans SC Thin"/>
        </w:rPr>
        <w:t>6.2 v0.1 功能范围（12–16 周）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350"/>
        <w:gridCol w:w="900"/>
        <w:gridCol w:w="4300"/>
        <w:gridCol w:w="2810"/>
      </w:tblGrid>
      <w:tr>
        <w:trPr>
          <w:tblHeader w:val="true"/>
        </w:trPr>
        <w:tc>
          <w:tcPr>
            <w:tcW w:type="dxa" w:w="135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5"/>
              </w:rPr>
              <w:t>阶段</w:t>
            </w:r>
          </w:p>
        </w:tc>
        <w:tc>
          <w:tcPr>
            <w:tcW w:type="dxa" w:w="90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5"/>
              </w:rPr>
              <w:t>周期</w:t>
            </w:r>
          </w:p>
        </w:tc>
        <w:tc>
          <w:tcPr>
            <w:tcW w:type="dxa" w:w="430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5"/>
              </w:rPr>
              <w:t>核心交付</w:t>
            </w:r>
          </w:p>
        </w:tc>
        <w:tc>
          <w:tcPr>
            <w:tcW w:type="dxa" w:w="281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5"/>
              </w:rPr>
              <w:t>退出标准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P0：工境/工契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1–4 周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CLI、Workspace Manifest、Codex/Claude/OpenCode Adapter、组织身份、A2A Gateway</w:t>
            </w:r>
          </w:p>
        </w:tc>
        <w:tc>
          <w:tcPr>
            <w:tcW w:type="dxa" w:w="2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3 种 Agent 可加入同一项目；权限边界可验证</w:t>
            </w:r>
          </w:p>
        </w:tc>
      </w:tr>
      <w:tr>
        <w:trPr>
          <w:cantSplit/>
        </w:trPr>
        <w:tc>
          <w:tcPr>
            <w:tcW w:type="dxa" w:w="13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P1：工流</w:t>
            </w:r>
          </w:p>
        </w:tc>
        <w:tc>
          <w:tcPr>
            <w:tcW w:type="dxa" w:w="9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5–8 周</w:t>
            </w:r>
          </w:p>
        </w:tc>
        <w:tc>
          <w:tcPr>
            <w:tcW w:type="dxa" w:w="43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Task Planner、DAG、DoD、Artifact Store、handoff、retry、人工验收</w:t>
            </w:r>
          </w:p>
        </w:tc>
        <w:tc>
          <w:tcPr>
            <w:tcW w:type="dxa" w:w="281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一个真实 repo 的需求→PR/报告闭环</w:t>
            </w:r>
          </w:p>
        </w:tc>
      </w:tr>
      <w:tr>
        <w:trPr>
          <w:cantSplit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P2：工谱/工验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9–12 周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能力目录、版本、依赖、测试、Skill Diff、沙箱验证、灰度和回滚</w:t>
            </w:r>
          </w:p>
        </w:tc>
        <w:tc>
          <w:tcPr>
            <w:tcW w:type="dxa" w:w="2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A 的能力可安全适配给 B，且有对照实验</w:t>
            </w:r>
          </w:p>
        </w:tc>
      </w:tr>
      <w:tr>
        <w:trPr>
          <w:cantSplit/>
        </w:trPr>
        <w:tc>
          <w:tcPr>
            <w:tcW w:type="dxa" w:w="13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P3：工名/工枢</w:t>
            </w:r>
          </w:p>
        </w:tc>
        <w:tc>
          <w:tcPr>
            <w:tcW w:type="dxa" w:w="9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13–16 周</w:t>
            </w:r>
          </w:p>
        </w:tc>
        <w:tc>
          <w:tcPr>
            <w:tcW w:type="dxa" w:w="43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审计、贡献归因、成本/成功率、组织学习看板、公开评测套件</w:t>
            </w:r>
          </w:p>
        </w:tc>
        <w:tc>
          <w:tcPr>
            <w:tcW w:type="dxa" w:w="281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可完成 5–10 人试点并生成论文数据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SC Thin" w:hAnsi="Noto Sans SC Thin" w:eastAsia="Noto Sans SC Thin"/>
        </w:rPr>
        <w:t>6.3 技术选型建议</w:t>
      </w:r>
    </w:p>
    <w:p>
      <w:pPr>
        <w:pStyle w:val="ListBullet"/>
        <w:spacing w:before="0" w:after="60" w:line="259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控制面：TypeScript/React + Python service；PostgreSQL 存任务、能力和 provenance；对象存储存 artifact。</w:t>
      </w:r>
    </w:p>
    <w:p>
      <w:pPr>
        <w:pStyle w:val="ListBullet"/>
        <w:spacing w:before="0" w:after="60" w:line="259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事件层：NATS 或 Redis Streams 起步；不必在 MVP 使用 Kafka。</w:t>
      </w:r>
    </w:p>
    <w:p>
      <w:pPr>
        <w:pStyle w:val="ListBullet"/>
        <w:spacing w:before="0" w:after="60" w:line="259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协议：A2A 作为 Agent 调用，MCP 作为工具/数据，OpenTelemetry 作为 trace；内部事件采用 CloudEvents 风格。</w:t>
      </w:r>
    </w:p>
    <w:p>
      <w:pPr>
        <w:pStyle w:val="ListBullet"/>
        <w:spacing w:before="0" w:after="60" w:line="259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执行层：先用自有 DAG/状态机薄层，支持 LangGraph、Microsoft Agent Framework、CrewAI adapter；不要把业务状态锁死在某个框架。</w:t>
      </w:r>
    </w:p>
    <w:p>
      <w:pPr>
        <w:pStyle w:val="ListBullet"/>
        <w:spacing w:before="0" w:after="60" w:line="259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隔离：本地 daemon + ephemeral container；对外只暴露允许的 capability endpoint。</w:t>
      </w:r>
    </w:p>
    <w:p>
      <w:pPr>
        <w:pStyle w:val="ListBullet"/>
        <w:spacing w:before="0" w:after="60" w:line="259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能力包：基于 Agent Skills 目录结构扩展 manifest、tests、policy、provenance 和 compatibility。</w:t>
      </w:r>
    </w:p>
    <w:p>
      <w:pPr>
        <w:pStyle w:val="Heading2"/>
        <w:keepNext/>
      </w:pPr>
      <w:r>
        <w:rPr>
          <w:rFonts w:ascii="Noto Sans SC Thin" w:hAnsi="Noto Sans SC Thin" w:eastAsia="Noto Sans SC Thin"/>
        </w:rPr>
        <w:t>6.4 开源策略</w:t>
      </w:r>
    </w:p>
    <w:p>
      <w:pPr>
        <w:spacing w:before="0" w:after="120" w:line="274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1"/>
        </w:rPr>
        <w:t>开源核心应包含 Adapter SDK、Manifest/Capability Spec、Task Fabric、Skill Supply Chain、MOMAS-Bench 和本地控制面。企业商业层可以保留 SSO、审计归档、策略中心、跨组织 federation、成本优化和托管服务。</w:t>
      </w:r>
    </w:p>
    <w:p>
      <w:pPr>
        <w:pStyle w:val="ListBullet"/>
        <w:spacing w:before="0" w:after="60" w:line="259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建议许可证：核心 Apache-2.0，便于企业和社区接入；Benchmark/Data 单独声明。</w:t>
      </w:r>
    </w:p>
    <w:p>
      <w:pPr>
        <w:pStyle w:val="ListBullet"/>
        <w:spacing w:before="0" w:after="60" w:line="259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社区增长入口：一条命令接入个人 Agent；公开能力包 registry；可复现实验 leaderboard。</w:t>
      </w:r>
    </w:p>
    <w:p>
      <w:pPr>
        <w:pStyle w:val="ListBullet"/>
        <w:spacing w:before="0" w:after="60" w:line="259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优先贡献对象：Agent adapter、能力包、evaluation task、policy pack，而非只贡献 Prompt。</w:t>
      </w:r>
    </w:p>
    <w:p>
      <w:pPr>
        <w:pStyle w:val="Heading2"/>
        <w:keepNext/>
      </w:pPr>
      <w:r>
        <w:rPr>
          <w:rFonts w:ascii="Noto Sans SC Thin" w:hAnsi="Noto Sans SC Thin" w:eastAsia="Noto Sans SC Thin"/>
        </w:rPr>
        <w:t>6.5 平台选择：从 OpenAgents 起步，核心控制面从零构建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3F1"/>
          </w:tcPr>
          <w:p>
            <w:pPr>
              <w:spacing w:before="0" w:after="60" w:line="269" w:lineRule="auto"/>
            </w:pPr>
            <w:r>
              <w:rPr>
                <w:rFonts w:ascii="Noto Sans SC Thin" w:hAnsi="Noto Sans SC Thin" w:eastAsia="Noto Sans SC Thin"/>
                <w:b/>
                <w:i w:val="0"/>
                <w:color w:val="0D6B67"/>
                <w:sz w:val="21"/>
              </w:rPr>
              <w:t xml:space="preserve">推荐路线：Hybrid Bootstrap  </w:t>
            </w: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21"/>
              </w:rPr>
              <w:t>把 OpenAgents 当作可替换的协作入口和验证外壳，而不是百工的内核。百工在其旁路建立独立控制面，通过 Adapter 接入 OpenAgents、Codex、Claude Code、OpenCode、Gemini CLI 及自研 Agent。验证产品后，可保留 OpenAgents Connector，也可逐步替换前端和 Workspace 实现。</w:t>
            </w:r>
          </w:p>
        </w:tc>
      </w:tr>
    </w:tbl>
    <w:p>
      <w:pPr>
        <w:spacing w:after="0"/>
      </w:pPr>
    </w:p>
    <w:p>
      <w:pPr>
        <w:spacing w:before="0" w:after="120" w:line="274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1"/>
        </w:rPr>
        <w:t>选择 OpenAgents 的原因是它已经具备 Apache-2.0 许可证、Launcher/Daemon、本地与云端 Agent 接入、共享 Workspace、线程、文件和浏览器协作，可最快验证“每个人带着自己的 Agent 加入团队”这一核心体验。[1][4] 但它以共享上下文、共享文件和协作频道为中心，尚不能直接提供百工需要的多所有者数据边界、可撤回授权、任务契约、能力验证供应链和组织学习，因此不应深度 Fork。</w:t>
      </w:r>
    </w:p>
    <w:p>
      <w:pPr>
        <w:spacing w:before="0" w:after="120" w:line="274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1"/>
        </w:rPr>
        <w:t>Ruflo 的 federation、信任分级、身份验证和审计值得借鉴，但其整体是围绕 Claude Code/Codex 的大规模 meta-harness，功能面过宽，直接作为底座会把百工锁入其 swarm、memory 和 plugin 体系。[2] Gas Town 的 mailbox、handoff、git-backed state 和 merge queue 适合复用为软件工程工作流参考，但不是多人多所有者平台。[3][5]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850"/>
        <w:gridCol w:w="850"/>
        <w:gridCol w:w="3600"/>
        <w:gridCol w:w="2160"/>
      </w:tblGrid>
      <w:tr>
        <w:trPr>
          <w:tblHeader w:val="true"/>
        </w:trPr>
        <w:tc>
          <w:tcPr>
            <w:tcW w:type="dxa" w:w="190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路线</w:t>
            </w:r>
          </w:p>
        </w:tc>
        <w:tc>
          <w:tcPr>
            <w:tcW w:type="dxa" w:w="85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速度</w:t>
            </w:r>
          </w:p>
        </w:tc>
        <w:tc>
          <w:tcPr>
            <w:tcW w:type="dxa" w:w="85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控制力</w:t>
            </w:r>
          </w:p>
        </w:tc>
        <w:tc>
          <w:tcPr>
            <w:tcW w:type="dxa" w:w="360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主要风险</w:t>
            </w:r>
          </w:p>
        </w:tc>
        <w:tc>
          <w:tcPr>
            <w:tcW w:type="dxa" w:w="216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深度 Fork OpenAgents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快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中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共享语义与 MOMAS 冲突；上游耦合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不推荐</w:t>
            </w:r>
          </w:p>
        </w:tc>
      </w:tr>
      <w:tr>
        <w:trPr>
          <w:cantSplit/>
        </w:trPr>
        <w:tc>
          <w:tcPr>
            <w:tcW w:type="dxa" w:w="19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完全从零</w:t>
            </w:r>
          </w:p>
        </w:tc>
        <w:tc>
          <w:tcPr>
            <w:tcW w:type="dxa" w:w="8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慢</w:t>
            </w:r>
          </w:p>
        </w:tc>
        <w:tc>
          <w:tcPr>
            <w:tcW w:type="dxa" w:w="8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最高</w:t>
            </w:r>
          </w:p>
        </w:tc>
        <w:tc>
          <w:tcPr>
            <w:tcW w:type="dxa" w:w="36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先重复 Launcher/UI/协议，12 周内难验证</w:t>
            </w:r>
          </w:p>
        </w:tc>
        <w:tc>
          <w:tcPr>
            <w:tcW w:type="dxa" w:w="216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不推荐作为第一步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OpenAgents 外壳 + 百工控制面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最快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高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需要清晰 Adapter 边界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推荐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SC Thin" w:hAnsi="Noto Sans SC Thin" w:eastAsia="Noto Sans SC Thin"/>
        </w:rPr>
        <w:t>6.6 推荐技术底座</w:t>
      </w:r>
    </w:p>
    <w:p>
      <w:pPr>
        <w:pStyle w:val="ListBullet"/>
        <w:spacing w:before="0" w:after="60" w:line="259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协作入口：OpenAgents；只复用 Launcher、Workspace UI、消息/文件协作和现有 Agent 连接器。[1][4]</w:t>
      </w:r>
    </w:p>
    <w:p>
      <w:pPr>
        <w:pStyle w:val="ListBullet"/>
        <w:spacing w:before="0" w:after="60" w:line="259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Agent 接口：A2A 1.0 及官方 Python SDK；工具、数据和资源使用 MCP；能力包遵循 Agent Skills 开放格式。[30][31][32][35]</w:t>
      </w:r>
    </w:p>
    <w:p>
      <w:pPr>
        <w:pStyle w:val="ListBullet"/>
        <w:spacing w:before="0" w:after="60" w:line="259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控制面：百工自建 Python/FastAPI 或 Go 服务；PostgreSQL 保存 Owner、Workspace、Capability、Task、Artifact 和 Provenance；NATS JetStream 承担事件和 inbox。[40][41]</w:t>
      </w:r>
    </w:p>
    <w:p>
      <w:pPr>
        <w:pStyle w:val="ListBullet"/>
        <w:spacing w:before="0" w:after="60" w:line="259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授权：Keycloak 负责 OIDC/组织身份，OpenFGA 表达 owner/workspace/task/artifact 的关系权限，OPA 执行动态策略和 Policy Gate。[37][38][39]</w:t>
      </w:r>
    </w:p>
    <w:p>
      <w:pPr>
        <w:pStyle w:val="ListBullet"/>
        <w:spacing w:before="0" w:after="60" w:line="259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执行与沙箱：首选 AgentScope Runtime 复用 Agent-as-a-Service、工具沙箱和框架兼容；Task Fabric 保持自有状态模型，通过 Adapter 支持 Microsoft Agent Framework、LangGraph 或 CrewAI。[6][7][8][9]</w:t>
      </w:r>
    </w:p>
    <w:p>
      <w:pPr>
        <w:pStyle w:val="ListBullet"/>
        <w:spacing w:before="0" w:after="60" w:line="259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长任务可靠性：MVP 使用自有轻量状态机；只有在恢复、定时器和补偿逻辑成为真实瓶颈后再引入 Temporal，避免一开始过度工程化。[36]</w:t>
      </w:r>
    </w:p>
    <w:p>
      <w:pPr>
        <w:pStyle w:val="ListBullet"/>
        <w:spacing w:before="0" w:after="60" w:line="259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可观测与评测：统一发出 OpenTelemetry trace；用 Langfuse 做 Agent 轨迹、数据集和实验，用 Promptfoo 做安全回归与红队，用 SWE-bench 派生首批软件工程任务。[42][43][44][45]</w:t>
      </w:r>
    </w:p>
    <w:p>
      <w:pPr>
        <w:pStyle w:val="Heading2"/>
        <w:keepNext/>
      </w:pPr>
      <w:r>
        <w:rPr>
          <w:rFonts w:ascii="Noto Sans SC Thin" w:hAnsi="Noto Sans SC Thin" w:eastAsia="Noto Sans SC Thin"/>
        </w:rPr>
        <w:t>6.7 16 周执行计划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50"/>
        <w:gridCol w:w="850"/>
        <w:gridCol w:w="3000"/>
        <w:gridCol w:w="2450"/>
        <w:gridCol w:w="1610"/>
      </w:tblGrid>
      <w:tr>
        <w:trPr>
          <w:tblHeader w:val="true"/>
        </w:trPr>
        <w:tc>
          <w:tcPr>
            <w:tcW w:type="dxa" w:w="145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阶段</w:t>
            </w:r>
          </w:p>
        </w:tc>
        <w:tc>
          <w:tcPr>
            <w:tcW w:type="dxa" w:w="85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周期</w:t>
            </w:r>
          </w:p>
        </w:tc>
        <w:tc>
          <w:tcPr>
            <w:tcW w:type="dxa" w:w="300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必须完成</w:t>
            </w:r>
          </w:p>
        </w:tc>
        <w:tc>
          <w:tcPr>
            <w:tcW w:type="dxa" w:w="245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验收指标</w:t>
            </w:r>
          </w:p>
        </w:tc>
        <w:tc>
          <w:tcPr>
            <w:tcW w:type="dxa" w:w="161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4"/>
              </w:rPr>
              <w:t>停止/转向条件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S0 技术刺探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第 1–2 周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部署 OpenAgents；接入 Codex/OpenCode/Gemini CLI；实现最小 baigong-adapter；记录事件与权限边界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3 人、3 种 Agent 在同一项目完成一次需求→评审；接入时间 &lt;15 分钟</w:t>
            </w:r>
          </w:p>
        </w:tc>
        <w:tc>
          <w:tcPr>
            <w:tcW w:type="dxa" w:w="1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若无法稳定获取 Agent 事件/产物，则只保留 UI 参考，转自建 Workspace Gateway</w:t>
            </w:r>
          </w:p>
        </w:tc>
      </w:tr>
      <w:tr>
        <w:trPr>
          <w:cantSplit/>
        </w:trPr>
        <w:tc>
          <w:tcPr>
            <w:tcW w:type="dxa" w:w="14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S1 联邦控制面</w:t>
            </w:r>
          </w:p>
        </w:tc>
        <w:tc>
          <w:tcPr>
            <w:tcW w:type="dxa" w:w="8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第 3–5 周</w:t>
            </w:r>
          </w:p>
        </w:tc>
        <w:tc>
          <w:tcPr>
            <w:tcW w:type="dxa" w:w="30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Owner/Org/Workspace/Agent 模型；Workspace Manifest；A2A Gateway；OpenFGA 权限；append-only event log</w:t>
            </w:r>
          </w:p>
        </w:tc>
        <w:tc>
          <w:tcPr>
            <w:tcW w:type="dxa" w:w="24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Agent 可随时加入/离开；未授权数据不可读；所有委派可审计</w:t>
            </w:r>
          </w:p>
        </w:tc>
        <w:tc>
          <w:tcPr>
            <w:tcW w:type="dxa" w:w="161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权限模型无法表达所有者撤回时，暂停编排，先修正数据模型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S2 任务闭环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第 6–8 周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Task Contract、DAG、DoD、Artifact、handoff、retry、人工评审、失败分类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真实 repo 完成需求→PR/测试/报告；E2E 成功率 ≥60%</w:t>
            </w:r>
          </w:p>
        </w:tc>
        <w:tc>
          <w:tcPr>
            <w:tcW w:type="dxa" w:w="1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若失败主要来自任务定义，优先加强 Planner/DoD，不扩 Agent 数量</w:t>
            </w:r>
          </w:p>
        </w:tc>
      </w:tr>
      <w:tr>
        <w:trPr>
          <w:cantSplit/>
        </w:trPr>
        <w:tc>
          <w:tcPr>
            <w:tcW w:type="dxa" w:w="14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S3 能力供应链</w:t>
            </w:r>
          </w:p>
        </w:tc>
        <w:tc>
          <w:tcPr>
            <w:tcW w:type="dxa" w:w="8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第 9–12 周</w:t>
            </w:r>
          </w:p>
        </w:tc>
        <w:tc>
          <w:tcPr>
            <w:tcW w:type="dxa" w:w="30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Agent Skills 扩展规范；Capability Diff；依赖/许可证/敏感度；沙箱验证；Policy Gate；canary/rollback</w:t>
            </w:r>
          </w:p>
        </w:tc>
        <w:tc>
          <w:tcPr>
            <w:tcW w:type="dxa" w:w="24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A 的能力适配给 B；相对直接复制降低负迁移；可一键回滚</w:t>
            </w:r>
          </w:p>
        </w:tc>
        <w:tc>
          <w:tcPr>
            <w:tcW w:type="dxa" w:w="161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若迁移无稳定增益，将论文重点转到联邦任务与权限评测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S4 试点与论文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第 13–16 周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5–10 人试点；MOMAS-Bench；消融实验；成本/贡献/学习曲线；开源文档与示例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连续完成 10–30 个相关任务；形成数据表、图和论文初稿</w:t>
            </w:r>
          </w:p>
        </w:tc>
        <w:tc>
          <w:tcPr>
            <w:tcW w:type="dxa" w:w="1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若协作开销超过收益，收窄到复杂任务并增加最少 Agent 门控</w:t>
            </w:r>
          </w:p>
        </w:tc>
      </w:tr>
    </w:tbl>
    <w:p>
      <w:pPr>
        <w:spacing w:after="0"/>
      </w:pPr>
    </w:p>
    <w:p>
      <w:pPr>
        <w:pStyle w:val="Heading2"/>
        <w:keepNext/>
        <w:pageBreakBefore/>
      </w:pPr>
      <w:r>
        <w:rPr>
          <w:rFonts w:ascii="Noto Sans SC Thin" w:hAnsi="Noto Sans SC Thin" w:eastAsia="Noto Sans SC Thin"/>
        </w:rPr>
        <w:t>6.8 团队、仓库与首批 Backlog</w:t>
      </w:r>
    </w:p>
    <w:p>
      <w:pPr>
        <w:spacing w:before="0" w:after="120" w:line="274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1"/>
        </w:rPr>
        <w:t>建议 6 人核心团队：1 名系统/产品负责人，2 名后端与分布式系统工程师，1 名 Agent Runtime/Adapter 工程师，1 名前端工程师，1 名评测与研究工程师；安全/DevOps 以兼职方式参与。小于 4 人时，应删除企业控制台和复杂调度，只做 CLI、Task Fabric 与能力验证。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00"/>
        <w:gridCol w:w="4550"/>
        <w:gridCol w:w="3210"/>
      </w:tblGrid>
      <w:tr>
        <w:trPr>
          <w:tblHeader w:val="true"/>
        </w:trPr>
        <w:tc>
          <w:tcPr>
            <w:tcW w:type="dxa" w:w="160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5"/>
              </w:rPr>
              <w:t>仓库</w:t>
            </w:r>
          </w:p>
        </w:tc>
        <w:tc>
          <w:tcPr>
            <w:tcW w:type="dxa" w:w="455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5"/>
              </w:rPr>
              <w:t>职责</w:t>
            </w:r>
          </w:p>
        </w:tc>
        <w:tc>
          <w:tcPr>
            <w:tcW w:type="dxa" w:w="321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5"/>
              </w:rPr>
              <w:t>前 4 周交付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baigong-spec</w:t>
            </w:r>
          </w:p>
        </w:tc>
        <w:tc>
          <w:tcPr>
            <w:tcW w:type="dxa" w:w="4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Workspace Manifest、Capability、Task Contract、Artifact、Event Schema</w:t>
            </w:r>
          </w:p>
        </w:tc>
        <w:tc>
          <w:tcPr>
            <w:tcW w:type="dxa" w:w="3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v0.1 JSON Schema + 例子 + 兼容性测试</w:t>
            </w:r>
          </w:p>
        </w:tc>
      </w:tr>
      <w:tr>
        <w:trPr>
          <w:cantSplit/>
        </w:trPr>
        <w:tc>
          <w:tcPr>
            <w:tcW w:type="dxa" w:w="16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baigong-edge</w:t>
            </w:r>
          </w:p>
        </w:tc>
        <w:tc>
          <w:tcPr>
            <w:tcW w:type="dxa" w:w="45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本地 daemon、Agent adapter、最小披露 proxy</w:t>
            </w:r>
          </w:p>
        </w:tc>
        <w:tc>
          <w:tcPr>
            <w:tcW w:type="dxa" w:w="321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Codex/OpenCode/Gemini CLI 三个 adapter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baigong-control</w:t>
            </w:r>
          </w:p>
        </w:tc>
        <w:tc>
          <w:tcPr>
            <w:tcW w:type="dxa" w:w="4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身份、权限、注册表、Task Fabric、Provenance API</w:t>
            </w:r>
          </w:p>
        </w:tc>
        <w:tc>
          <w:tcPr>
            <w:tcW w:type="dxa" w:w="3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Owner/Workspace/Task 主链路</w:t>
            </w:r>
          </w:p>
        </w:tc>
      </w:tr>
      <w:tr>
        <w:trPr>
          <w:cantSplit/>
        </w:trPr>
        <w:tc>
          <w:tcPr>
            <w:tcW w:type="dxa" w:w="16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baigong-console</w:t>
            </w:r>
          </w:p>
        </w:tc>
        <w:tc>
          <w:tcPr>
            <w:tcW w:type="dxa" w:w="45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组织、Workspace、任务、产物、审计 UI</w:t>
            </w:r>
          </w:p>
        </w:tc>
        <w:tc>
          <w:tcPr>
            <w:tcW w:type="dxa" w:w="321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接入和任务状态两个页面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baigong-bench</w:t>
            </w:r>
          </w:p>
        </w:tc>
        <w:tc>
          <w:tcPr>
            <w:tcW w:type="dxa" w:w="4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任务集、评测器、消融、leaderboard</w:t>
            </w:r>
          </w:p>
        </w:tc>
        <w:tc>
          <w:tcPr>
            <w:tcW w:type="dxa" w:w="3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10 个跨 workspace 软件任务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SC Thin" w:hAnsi="Noto Sans SC Thin" w:eastAsia="Noto Sans SC Thin"/>
        </w:rPr>
        <w:t>7. 技术论文方案</w:t>
      </w:r>
    </w:p>
    <w:p>
      <w:pPr>
        <w:pStyle w:val="Heading2"/>
        <w:keepNext/>
      </w:pPr>
      <w:r>
        <w:rPr>
          <w:rFonts w:ascii="Noto Sans SC Thin" w:hAnsi="Noto Sans SC Thin" w:eastAsia="Noto Sans SC Thin"/>
        </w:rPr>
        <w:t>7.1 论文主张</w:t>
      </w:r>
    </w:p>
    <w:p>
      <w:pPr>
        <w:spacing w:before="0" w:after="120" w:line="274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1"/>
        </w:rPr>
        <w:t>建议将百工论文定位成系统与评测论文，而不是纯多 Agent 算法论文：首次系统化研究多个独立所有者如何携带自己的 Agent workspace，在保留自治、权限和数据边界的前提下完成端到端协作，并通过受治理的能力供应链形成组织学习。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0E3"/>
          </w:tcPr>
          <w:p>
            <w:pPr>
              <w:spacing w:before="0" w:after="60" w:line="269" w:lineRule="auto"/>
            </w:pPr>
            <w:r>
              <w:rPr>
                <w:rFonts w:ascii="Noto Sans SC Thin" w:hAnsi="Noto Sans SC Thin" w:eastAsia="Noto Sans SC Thin"/>
                <w:b/>
                <w:i w:val="0"/>
                <w:color w:val="A87924"/>
                <w:sz w:val="21"/>
              </w:rPr>
              <w:t xml:space="preserve">推荐题目  </w:t>
            </w: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21"/>
              </w:rPr>
              <w:t>BAIGONG: Federating Personal Agent Workspaces for Multi-Owner Multi-Agent Collaboration and Organizational Learning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SC Thin" w:hAnsi="Noto Sans SC Thin" w:eastAsia="Noto Sans SC Thin"/>
        </w:rPr>
        <w:t>7.2 可成立的四项贡献</w:t>
      </w:r>
    </w:p>
    <w:p>
      <w:pPr>
        <w:spacing w:before="0" w:after="80" w:line="264" w:lineRule="auto"/>
        <w:ind w:left="317" w:hanging="317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 xml:space="preserve">1.  </w:t>
      </w: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概念贡献：定义 MOMAS，并建立 owner–workspace–agent–capability–task 五层模型，区别于单所有者 MAS 和一般 human-in-the-loop。</w:t>
      </w:r>
    </w:p>
    <w:p>
      <w:pPr>
        <w:spacing w:before="0" w:after="80" w:line="264" w:lineRule="auto"/>
        <w:ind w:left="317" w:hanging="317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 xml:space="preserve">2.  </w:t>
      </w: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系统贡献：提出 framework-agnostic workspace federation，在不迁移完整内部状态的情况下接入异构个人 Agent。</w:t>
      </w:r>
    </w:p>
    <w:p>
      <w:pPr>
        <w:spacing w:before="0" w:after="80" w:line="264" w:lineRule="auto"/>
        <w:ind w:left="317" w:hanging="317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 xml:space="preserve">3.  </w:t>
      </w: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机制贡献：提出 Verified Capability Supply Chain，将能力差分、验证、策略、个性化适配、灰度、负迁移监测和 provenance 统一起来。</w:t>
      </w:r>
    </w:p>
    <w:p>
      <w:pPr>
        <w:spacing w:before="0" w:after="80" w:line="264" w:lineRule="auto"/>
        <w:ind w:left="317" w:hanging="317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 xml:space="preserve">4.  </w:t>
      </w: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评测贡献：发布 MOMAS-Bench，覆盖冷启动、跨 workspace 任务、能力迁移、权限隔离、人员协调成本和长期组织学习。</w:t>
      </w:r>
    </w:p>
    <w:p>
      <w:pPr>
        <w:pStyle w:val="Heading2"/>
        <w:keepNext/>
      </w:pPr>
      <w:r>
        <w:rPr>
          <w:rFonts w:ascii="Noto Sans SC Thin" w:hAnsi="Noto Sans SC Thin" w:eastAsia="Noto Sans SC Thin"/>
        </w:rPr>
        <w:t>7.3 研究问题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600"/>
        <w:gridCol w:w="4900"/>
        <w:gridCol w:w="3860"/>
      </w:tblGrid>
      <w:tr>
        <w:trPr>
          <w:tblHeader w:val="true"/>
        </w:trPr>
        <w:tc>
          <w:tcPr>
            <w:tcW w:type="dxa" w:w="60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RQ</w:t>
            </w:r>
          </w:p>
        </w:tc>
        <w:tc>
          <w:tcPr>
            <w:tcW w:type="dxa" w:w="490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问题</w:t>
            </w:r>
          </w:p>
        </w:tc>
        <w:tc>
          <w:tcPr>
            <w:tcW w:type="dxa" w:w="386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关键指标</w:t>
            </w:r>
          </w:p>
        </w:tc>
      </w:tr>
      <w:tr>
        <w:trPr>
          <w:cantSplit/>
        </w:trP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RQ1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联邦接入是否能降低多人 Agent 系统的初始化和迁移成本？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Time-to-Onboard、配置改动、上下文迁移量、可移植率</w:t>
            </w:r>
          </w:p>
        </w:tc>
      </w:tr>
      <w:tr>
        <w:trPr>
          <w:cantSplit/>
        </w:trPr>
        <w:tc>
          <w:tcPr>
            <w:tcW w:type="dxa" w:w="6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RQ2</w:t>
            </w:r>
          </w:p>
        </w:tc>
        <w:tc>
          <w:tcPr>
            <w:tcW w:type="dxa" w:w="49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受验证的能力供应链是否优于直接广播/中央共享 Skill？</w:t>
            </w:r>
          </w:p>
        </w:tc>
        <w:tc>
          <w:tcPr>
            <w:tcW w:type="dxa" w:w="386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成功率、负迁移率、违规率、回滚率、成本</w:t>
            </w:r>
          </w:p>
        </w:tc>
      </w:tr>
      <w:tr>
        <w:trPr>
          <w:cantSplit/>
        </w:trP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RQ3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Owner-aware routing 和任务契约是否提升跨工作空间端到端完成率？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E2E Success、DoD Pass、重规划次数、协作开销</w:t>
            </w:r>
          </w:p>
        </w:tc>
      </w:tr>
      <w:tr>
        <w:trPr>
          <w:cantSplit/>
        </w:trPr>
        <w:tc>
          <w:tcPr>
            <w:tcW w:type="dxa" w:w="6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RQ4</w:t>
            </w:r>
          </w:p>
        </w:tc>
        <w:tc>
          <w:tcPr>
            <w:tcW w:type="dxa" w:w="49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组织能否随任务积累持续变强？</w:t>
            </w:r>
          </w:p>
        </w:tc>
        <w:tc>
          <w:tcPr>
            <w:tcW w:type="dxa" w:w="386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第 N 次任务增益、新成员冷启动、能力复用率、人类协调时间下降</w:t>
            </w:r>
          </w:p>
        </w:tc>
      </w:tr>
      <w:tr>
        <w:trPr>
          <w:cantSplit/>
        </w:trP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RQ5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最小披露是否在隐私/安全与协作收益间取得更好平衡？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泄露面、权限违规、可审计性、性能损失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SC Thin" w:hAnsi="Noto Sans SC Thin" w:eastAsia="Noto Sans SC Thin"/>
        </w:rPr>
        <w:t>7.4 Baseline 与消融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7"/>
              </w:rPr>
              <w:t>组别</w:t>
            </w:r>
          </w:p>
        </w:tc>
        <w:tc>
          <w:tcPr>
            <w:tcW w:type="dxa" w:w="676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7"/>
              </w:rPr>
              <w:t>Single-Human Single-Agent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7"/>
              </w:rPr>
              <w:t>每个人独立使用个人 Agent，线下沟通</w:t>
            </w:r>
          </w:p>
        </w:tc>
      </w:tr>
      <w:tr>
        <w:trPr>
          <w:cantSplit/>
        </w:trPr>
        <w:tc>
          <w:tcPr>
            <w:tcW w:type="dxa" w:w="26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7"/>
              </w:rPr>
              <w:t>Single-Owner Multi-Agent</w:t>
            </w:r>
          </w:p>
        </w:tc>
        <w:tc>
          <w:tcPr>
            <w:tcW w:type="dxa" w:w="676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7"/>
              </w:rPr>
              <w:t>一个操作者用 LangGraph/MAF/CrewAI 编排所有 Agent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7"/>
              </w:rPr>
              <w:t>Shared Workspace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7"/>
              </w:rPr>
              <w:t>使用 OpenAgents 类共享频道/文件，但无能力供应链</w:t>
            </w:r>
          </w:p>
        </w:tc>
      </w:tr>
      <w:tr>
        <w:trPr>
          <w:cantSplit/>
        </w:trPr>
        <w:tc>
          <w:tcPr>
            <w:tcW w:type="dxa" w:w="26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7"/>
              </w:rPr>
              <w:t>Central Skill Registry</w:t>
            </w:r>
          </w:p>
        </w:tc>
        <w:tc>
          <w:tcPr>
            <w:tcW w:type="dxa" w:w="676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7"/>
              </w:rPr>
              <w:t>共享完整 Skill，不做个性化与安全验证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7"/>
              </w:rPr>
              <w:t>FederatedSkill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7"/>
              </w:rPr>
              <w:t>采用 semantic skill diff 和个性化演化作为强算法基线</w:t>
            </w:r>
          </w:p>
        </w:tc>
      </w:tr>
      <w:tr>
        <w:trPr>
          <w:cantSplit/>
        </w:trPr>
        <w:tc>
          <w:tcPr>
            <w:tcW w:type="dxa" w:w="26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7"/>
              </w:rPr>
              <w:t>BAIGONG-Full</w:t>
            </w:r>
          </w:p>
        </w:tc>
        <w:tc>
          <w:tcPr>
            <w:tcW w:type="dxa" w:w="676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7"/>
              </w:rPr>
              <w:t>workspace federation + owner-aware task fabric + verified capability supply chain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7"/>
              </w:rPr>
              <w:t>Ablation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7"/>
              </w:rPr>
              <w:t>分别去掉 owner boundary、verification、adaptation、provenance、replanning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SC Thin" w:hAnsi="Noto Sans SC Thin" w:eastAsia="Noto Sans SC Thin"/>
        </w:rPr>
        <w:t>7.5 Benchmark 任务设计</w:t>
      </w:r>
    </w:p>
    <w:p>
      <w:pPr>
        <w:spacing w:before="0" w:after="120" w:line="274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1"/>
        </w:rPr>
        <w:t>建议发布 MOMAS-Bench，而不是只在 SWE-bench 上比较。每个任务都应把信息、权限和能力分散到不同 owner/workspace，迫使系统进行发现、委派和受控共享。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2500"/>
        <w:gridCol w:w="3100"/>
        <w:gridCol w:w="2060"/>
      </w:tblGrid>
      <w:tr>
        <w:trPr>
          <w:tblHeader w:val="true"/>
        </w:trPr>
        <w:tc>
          <w:tcPr>
            <w:tcW w:type="dxa" w:w="170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5"/>
              </w:rPr>
              <w:t>轨道</w:t>
            </w:r>
          </w:p>
        </w:tc>
        <w:tc>
          <w:tcPr>
            <w:tcW w:type="dxa" w:w="250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5"/>
              </w:rPr>
              <w:t>设置</w:t>
            </w:r>
          </w:p>
        </w:tc>
        <w:tc>
          <w:tcPr>
            <w:tcW w:type="dxa" w:w="310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5"/>
              </w:rPr>
              <w:t>示例任务</w:t>
            </w:r>
          </w:p>
        </w:tc>
        <w:tc>
          <w:tcPr>
            <w:tcW w:type="dxa" w:w="206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5"/>
              </w:rPr>
              <w:t>验证方式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Product Engineering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产品、前端、后端、测试、运维分属不同 workspace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从需求到可部署版本和文档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测试、构建、PR review、DoD</w:t>
            </w:r>
          </w:p>
        </w:tc>
      </w:tr>
      <w:tr>
        <w:trPr>
          <w:cantSplit/>
        </w:trPr>
        <w:tc>
          <w:tcPr>
            <w:tcW w:type="dxa" w:w="17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Technical Research</w:t>
            </w:r>
          </w:p>
        </w:tc>
        <w:tc>
          <w:tcPr>
            <w:tcW w:type="dxa" w:w="25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论文、代码、实验和报告能力分散</w:t>
            </w:r>
          </w:p>
        </w:tc>
        <w:tc>
          <w:tcPr>
            <w:tcW w:type="dxa" w:w="31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完成一项模型/芯片优化调研与复现实验</w:t>
            </w:r>
          </w:p>
        </w:tc>
        <w:tc>
          <w:tcPr>
            <w:tcW w:type="dxa" w:w="206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来源、代码运行、指标、报告一致性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Enterprise Operations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跨部门 Agent 且工具权限隔离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员工入职、客户问题、事故处理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流程里程碑、权限、审批、SLA</w:t>
            </w:r>
          </w:p>
        </w:tc>
      </w:tr>
      <w:tr>
        <w:trPr>
          <w:cantSplit/>
        </w:trPr>
        <w:tc>
          <w:tcPr>
            <w:tcW w:type="dxa" w:w="17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Skill Transfer</w:t>
            </w:r>
          </w:p>
        </w:tc>
        <w:tc>
          <w:tcPr>
            <w:tcW w:type="dxa" w:w="25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A 有历史能力，B 有新环境/模型</w:t>
            </w:r>
          </w:p>
        </w:tc>
        <w:tc>
          <w:tcPr>
            <w:tcW w:type="dxa" w:w="31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将 A 的 skill 适配给 B</w:t>
            </w:r>
          </w:p>
        </w:tc>
        <w:tc>
          <w:tcPr>
            <w:tcW w:type="dxa" w:w="206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迁移增益、负迁移、违规和成本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Longitudinal Learning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连续 10–30 个相关任务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观察组织是否学习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学习曲线、复用率、新成员冷启动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SC Thin" w:hAnsi="Noto Sans SC Thin" w:eastAsia="Noto Sans SC Thin"/>
        </w:rPr>
        <w:t>7.6 投稿路径</w:t>
      </w:r>
    </w:p>
    <w:p>
      <w:pPr>
        <w:spacing w:before="0" w:after="120" w:line="274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1"/>
        </w:rPr>
        <w:t>如果核心贡献偏系统、开源平台和大规模实验，可考虑 MLSys、EuroSys/USENIX ATC workshop/industry track 或软件工程方向 ICSE/FSE；如果更强调 Agent 协作、能力迁移与 Benchmark，可考虑 ACL/EMNLP、AAMAS、ICLR/NeurIPS Datasets &amp; Benchmarks。实际投稿应以完成时各会期最新 CFP 为准。</w:t>
      </w:r>
    </w:p>
    <w:p>
      <w:pPr>
        <w:spacing w:before="0" w:after="120" w:line="274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1"/>
        </w:rPr>
        <w:t>最稳妥的节奏是：先发布开源 MVP 和技术报告，积累真实社区 workspace/任务数据；再以 MOMAS-Bench + 系统实验形成会议论文。论文和产品共用同一核心，不做为了论文而孤立的算法。</w:t>
      </w:r>
    </w:p>
    <w:p>
      <w:pPr>
        <w:pStyle w:val="Heading1"/>
        <w:keepNext/>
      </w:pPr>
      <w:r>
        <w:rPr>
          <w:rFonts w:ascii="Noto Sans SC Thin" w:hAnsi="Noto Sans SC Thin" w:eastAsia="Noto Sans SC Thin"/>
        </w:rPr>
        <w:t>8. 风险、护城河与最终判断</w:t>
      </w:r>
    </w:p>
    <w:p>
      <w:pPr>
        <w:pStyle w:val="Heading2"/>
        <w:keepNext/>
      </w:pPr>
      <w:r>
        <w:rPr>
          <w:rFonts w:ascii="Noto Sans SC Thin" w:hAnsi="Noto Sans SC Thin" w:eastAsia="Noto Sans SC Thin"/>
        </w:rPr>
        <w:t>8.1 主要风险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00"/>
        <w:gridCol w:w="850"/>
        <w:gridCol w:w="2900"/>
        <w:gridCol w:w="4010"/>
      </w:tblGrid>
      <w:tr>
        <w:trPr>
          <w:tblHeader w:val="true"/>
        </w:trPr>
        <w:tc>
          <w:tcPr>
            <w:tcW w:type="dxa" w:w="160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5"/>
              </w:rPr>
              <w:t>风险</w:t>
            </w:r>
          </w:p>
        </w:tc>
        <w:tc>
          <w:tcPr>
            <w:tcW w:type="dxa" w:w="85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5"/>
              </w:rPr>
              <w:t>严重度</w:t>
            </w:r>
          </w:p>
        </w:tc>
        <w:tc>
          <w:tcPr>
            <w:tcW w:type="dxa" w:w="290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5"/>
              </w:rPr>
              <w:t>表现</w:t>
            </w:r>
          </w:p>
        </w:tc>
        <w:tc>
          <w:tcPr>
            <w:tcW w:type="dxa" w:w="401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5"/>
              </w:rPr>
              <w:t>缓解方案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与 OpenAgents/Ruflo 同质化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高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被理解成另一个 Agent Slack 或 swarm harness</w:t>
            </w:r>
          </w:p>
        </w:tc>
        <w:tc>
          <w:tcPr>
            <w:tcW w:type="dxa" w:w="4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突出 MOMAS、能力供应链、组织学习和 Benchmark；控制面可接入它们</w:t>
            </w:r>
          </w:p>
        </w:tc>
      </w:tr>
      <w:tr>
        <w:trPr>
          <w:cantSplit/>
        </w:trPr>
        <w:tc>
          <w:tcPr>
            <w:tcW w:type="dxa" w:w="16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论文被 FederatedSkill/FoA 覆盖</w:t>
            </w:r>
          </w:p>
        </w:tc>
        <w:tc>
          <w:tcPr>
            <w:tcW w:type="dxa" w:w="8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高</w:t>
            </w:r>
          </w:p>
        </w:tc>
        <w:tc>
          <w:tcPr>
            <w:tcW w:type="dxa" w:w="29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Skill 传播和能力路由不再新</w:t>
            </w:r>
          </w:p>
        </w:tc>
        <w:tc>
          <w:tcPr>
            <w:tcW w:type="dxa" w:w="401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把它们设为强基线，创新放到多所有者系统和端到端闭环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权限和数据泄露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高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跨 workspace 任务扩大攻击面</w:t>
            </w:r>
          </w:p>
        </w:tc>
        <w:tc>
          <w:tcPr>
            <w:tcW w:type="dxa" w:w="4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最小披露、Capability proxy、策略即代码、沙箱、签名和审计</w:t>
            </w:r>
          </w:p>
        </w:tc>
      </w:tr>
      <w:tr>
        <w:trPr>
          <w:cantSplit/>
        </w:trPr>
        <w:tc>
          <w:tcPr>
            <w:tcW w:type="dxa" w:w="16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编排成本高于收益</w:t>
            </w:r>
          </w:p>
        </w:tc>
        <w:tc>
          <w:tcPr>
            <w:tcW w:type="dxa" w:w="8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高</w:t>
            </w:r>
          </w:p>
        </w:tc>
        <w:tc>
          <w:tcPr>
            <w:tcW w:type="dxa" w:w="29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Token、延迟和沟通噪声增长</w:t>
            </w:r>
          </w:p>
        </w:tc>
        <w:tc>
          <w:tcPr>
            <w:tcW w:type="dxa" w:w="401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任务复杂度门控、最少 Agent 原则、预算感知路由、结构化 artifact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能力污染/负迁移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高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错误 Skill 被扩散</w:t>
            </w:r>
          </w:p>
        </w:tc>
        <w:tc>
          <w:tcPr>
            <w:tcW w:type="dxa" w:w="4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测试、适配、canary、信誉、回滚、版本锁定</w:t>
            </w:r>
          </w:p>
        </w:tc>
      </w:tr>
      <w:tr>
        <w:trPr>
          <w:cantSplit/>
        </w:trPr>
        <w:tc>
          <w:tcPr>
            <w:tcW w:type="dxa" w:w="16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组织采用阻力</w:t>
            </w:r>
          </w:p>
        </w:tc>
        <w:tc>
          <w:tcPr>
            <w:tcW w:type="dxa" w:w="8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中</w:t>
            </w:r>
          </w:p>
        </w:tc>
        <w:tc>
          <w:tcPr>
            <w:tcW w:type="dxa" w:w="29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员工不愿交出个人 Agent 或担心监控</w:t>
            </w:r>
          </w:p>
        </w:tc>
        <w:tc>
          <w:tcPr>
            <w:tcW w:type="dxa" w:w="401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本地自治、显式授权、透明数据边界、可撤回、个人收益可见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品牌与商标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中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百工为通用文化词，拼音存在其他含义</w:t>
            </w:r>
          </w:p>
        </w:tc>
        <w:tc>
          <w:tcPr>
            <w:tcW w:type="dxa" w:w="4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5"/>
              </w:rPr>
              <w:t>正式注册前完成专业检索；保留组合商标“百工 BAIGONG”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SC Thin" w:hAnsi="Noto Sans SC Thin" w:eastAsia="Noto Sans SC Thin"/>
        </w:rPr>
        <w:t>8.2 可形成的护城河</w:t>
      </w:r>
    </w:p>
    <w:p>
      <w:pPr>
        <w:pStyle w:val="ListBullet"/>
        <w:spacing w:before="0" w:after="60" w:line="259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协议护城河：开放的 Workspace/Capability/Task Contract 规范被多 Agent 工具采用。</w:t>
      </w:r>
    </w:p>
    <w:p>
      <w:pPr>
        <w:pStyle w:val="ListBullet"/>
        <w:spacing w:before="0" w:after="60" w:line="259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数据护城河：真实跨 workspace 任务、能力迁移、失败归因和组织学习数据。</w:t>
      </w:r>
    </w:p>
    <w:p>
      <w:pPr>
        <w:pStyle w:val="ListBullet"/>
        <w:spacing w:before="0" w:after="60" w:line="259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评测护城河：MOMAS-Bench 与社区 leaderboard 成为多人 Agent 系统的事实评测入口。</w:t>
      </w:r>
    </w:p>
    <w:p>
      <w:pPr>
        <w:pStyle w:val="ListBullet"/>
        <w:spacing w:before="0" w:after="60" w:line="259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生态护城河：Agent adapters、能力包、policy packs、evaluators 和行业 workflow。</w:t>
      </w:r>
    </w:p>
    <w:p>
      <w:pPr>
        <w:pStyle w:val="ListBullet"/>
        <w:spacing w:before="0" w:after="60" w:line="259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0"/>
        </w:rPr>
        <w:t>产品护城河：能力供应链和 provenance 深度嵌入企业运营，而不是只做一个聊天界面。</w:t>
      </w:r>
    </w:p>
    <w:p>
      <w:pPr>
        <w:pStyle w:val="Heading2"/>
        <w:keepNext/>
      </w:pPr>
      <w:r>
        <w:rPr>
          <w:rFonts w:ascii="Noto Sans SC Thin" w:hAnsi="Noto Sans SC Thin" w:eastAsia="Noto Sans SC Thin"/>
        </w:rPr>
        <w:t>8.3 最终判断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0E3"/>
          </w:tcPr>
          <w:p>
            <w:pPr>
              <w:spacing w:before="0" w:after="60" w:line="269" w:lineRule="auto"/>
            </w:pPr>
            <w:r>
              <w:rPr>
                <w:rFonts w:ascii="Noto Sans SC Thin" w:hAnsi="Noto Sans SC Thin" w:eastAsia="Noto Sans SC Thin"/>
                <w:b/>
                <w:i w:val="0"/>
                <w:color w:val="A87924"/>
                <w:sz w:val="21"/>
              </w:rPr>
              <w:t xml:space="preserve">值得做，但必须换一个更窄、更深的定义  </w:t>
            </w: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21"/>
              </w:rPr>
              <w:t>百工不是“多人使用的多 Agent 系统”，也不是“把很多 Agent 放进一个 workspace”。它应成为个人 Agent 进入组织后的联邦与能力操作层：保留每个人的自治，让能力可验证地流动，让任务端到端闭环，让组织从每次工作中学习。</w:t>
            </w:r>
          </w:p>
        </w:tc>
      </w:tr>
    </w:tbl>
    <w:p>
      <w:pPr>
        <w:spacing w:after="0"/>
      </w:pPr>
    </w:p>
    <w:p>
      <w:pPr>
        <w:spacing w:before="0" w:after="120" w:line="274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1"/>
        </w:rPr>
        <w:t>产品侧，最短路径是软件/技术团队的 Bring-Your-Own-Agent 协作；研究侧，最有辨识度的是 MOMAS 定义、能力供应链和纵向组织学习评测。只要坚持这三个重点，百工可以同时具备开源社区价值、企业产品价值和论文价值。</w:t>
      </w:r>
    </w:p>
    <w:p>
      <w:pPr>
        <w:pStyle w:val="Heading1"/>
        <w:keepNext/>
      </w:pPr>
      <w:r>
        <w:rPr>
          <w:rFonts w:ascii="Noto Sans SC Thin" w:hAnsi="Noto Sans SC Thin" w:eastAsia="Noto Sans SC Thin"/>
        </w:rPr>
        <w:t>附录 A：开源项目索引与复用建议</w:t>
      </w:r>
    </w:p>
    <w:p>
      <w:pPr>
        <w:spacing w:before="0" w:after="120" w:line="274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1"/>
        </w:rPr>
        <w:t>下表集中列出本报告直接参考的主要开源仓库。项目名称均可点击进入仓库；许可证按 2026 年 7 月 22 日仓库页面标注整理，正式集成前仍应由法务或开源合规流程复核依赖树、NOTICE、商标和企业版目录。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1750"/>
        <w:gridCol w:w="850"/>
        <w:gridCol w:w="2850"/>
        <w:gridCol w:w="3010"/>
      </w:tblGrid>
      <w:tr>
        <w:trPr>
          <w:tblHeader w:val="true"/>
        </w:trPr>
        <w:tc>
          <w:tcPr>
            <w:tcW w:type="dxa" w:w="90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5"/>
              </w:rPr>
              <w:t>层级</w:t>
            </w:r>
          </w:p>
        </w:tc>
        <w:tc>
          <w:tcPr>
            <w:tcW w:type="dxa" w:w="175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5"/>
              </w:rPr>
              <w:t>项目（可点击）</w:t>
            </w:r>
          </w:p>
        </w:tc>
        <w:tc>
          <w:tcPr>
            <w:tcW w:type="dxa" w:w="85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5"/>
              </w:rPr>
              <w:t>许可证</w:t>
            </w:r>
          </w:p>
        </w:tc>
        <w:tc>
          <w:tcPr>
            <w:tcW w:type="dxa" w:w="285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5"/>
              </w:rPr>
              <w:t>建议复用</w:t>
            </w:r>
          </w:p>
        </w:tc>
        <w:tc>
          <w:tcPr>
            <w:tcW w:type="dxa" w:w="301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5"/>
              </w:rPr>
              <w:t>百工决策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协作入口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hyperlink r:id="rId13">
              <w:r>
                <w:rPr>
                  <w:color w:val="0D6B67"/>
                  <w:u w:val="single"/>
                  <w:rFonts w:ascii="Noto Sans SC Thin" w:hAnsi="Noto Sans SC Thin" w:eastAsia="Noto Sans SC Thin"/>
                  <w:sz w:val="14"/>
                  <w:szCs w:val="14"/>
                </w:rPr>
                <w:t>OpenAgents</w:t>
              </w:r>
            </w:hyperlink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Apache-2.0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Launcher、Workspace UI、线程、文件、浏览器、Agent 连接器</w:t>
            </w:r>
          </w:p>
        </w:tc>
        <w:tc>
          <w:tcPr>
            <w:tcW w:type="dxa" w:w="3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首选验证外壳；不深度 Fork</w:t>
            </w:r>
          </w:p>
        </w:tc>
      </w:tr>
      <w:tr>
        <w:trPr>
          <w:cantSplit/>
        </w:trPr>
        <w:tc>
          <w:tcPr>
            <w:tcW w:type="dxa" w:w="9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联邦参考</w:t>
            </w:r>
          </w:p>
        </w:tc>
        <w:tc>
          <w:tcPr>
            <w:tcW w:type="dxa" w:w="17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hyperlink r:id="rId14">
              <w:r>
                <w:rPr>
                  <w:color w:val="0D6B67"/>
                  <w:u w:val="single"/>
                  <w:rFonts w:ascii="Noto Sans SC Thin" w:hAnsi="Noto Sans SC Thin" w:eastAsia="Noto Sans SC Thin"/>
                  <w:sz w:val="14"/>
                  <w:szCs w:val="14"/>
                </w:rPr>
                <w:t>Ruflo</w:t>
              </w:r>
            </w:hyperlink>
          </w:p>
        </w:tc>
        <w:tc>
          <w:tcPr>
            <w:tcW w:type="dxa" w:w="8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MIT</w:t>
            </w:r>
          </w:p>
        </w:tc>
        <w:tc>
          <w:tcPr>
            <w:tcW w:type="dxa" w:w="28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Federation、信任分级、PII 处理、审计、跨机器通信</w:t>
            </w:r>
          </w:p>
        </w:tc>
        <w:tc>
          <w:tcPr>
            <w:tcW w:type="dxa" w:w="301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借鉴机制；不作为唯一内核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工程流程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hyperlink r:id="rId15">
              <w:r>
                <w:rPr>
                  <w:color w:val="0D6B67"/>
                  <w:u w:val="single"/>
                  <w:rFonts w:ascii="Noto Sans SC Thin" w:hAnsi="Noto Sans SC Thin" w:eastAsia="Noto Sans SC Thin"/>
                  <w:sz w:val="14"/>
                  <w:szCs w:val="14"/>
                </w:rPr>
                <w:t>Gas Town</w:t>
              </w:r>
            </w:hyperlink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MIT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Mailbox、handoff、git-backed state、merge queue</w:t>
            </w:r>
          </w:p>
        </w:tc>
        <w:tc>
          <w:tcPr>
            <w:tcW w:type="dxa" w:w="3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提取工作流模式</w:t>
            </w:r>
          </w:p>
        </w:tc>
      </w:tr>
      <w:tr>
        <w:trPr>
          <w:cantSplit/>
        </w:trPr>
        <w:tc>
          <w:tcPr>
            <w:tcW w:type="dxa" w:w="9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Agent 框架</w:t>
            </w:r>
          </w:p>
        </w:tc>
        <w:tc>
          <w:tcPr>
            <w:tcW w:type="dxa" w:w="17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hyperlink r:id="rId16">
              <w:r>
                <w:rPr>
                  <w:color w:val="0D6B67"/>
                  <w:u w:val="single"/>
                  <w:rFonts w:ascii="Noto Sans SC Thin" w:hAnsi="Noto Sans SC Thin" w:eastAsia="Noto Sans SC Thin"/>
                  <w:sz w:val="14"/>
                  <w:szCs w:val="14"/>
                </w:rPr>
                <w:t>Microsoft Agent Framework</w:t>
              </w:r>
            </w:hyperlink>
          </w:p>
        </w:tc>
        <w:tc>
          <w:tcPr>
            <w:tcW w:type="dxa" w:w="8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MIT</w:t>
            </w:r>
          </w:p>
        </w:tc>
        <w:tc>
          <w:tcPr>
            <w:tcW w:type="dxa" w:w="28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多语言 Agent、workflow、checkpoint、HITL、OTel、A2A hosting</w:t>
            </w:r>
          </w:p>
        </w:tc>
        <w:tc>
          <w:tcPr>
            <w:tcW w:type="dxa" w:w="301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作为可插拔执行后端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Agent 框架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hyperlink r:id="rId17">
              <w:r>
                <w:rPr>
                  <w:color w:val="0D6B67"/>
                  <w:u w:val="single"/>
                  <w:rFonts w:ascii="Noto Sans SC Thin" w:hAnsi="Noto Sans SC Thin" w:eastAsia="Noto Sans SC Thin"/>
                  <w:sz w:val="14"/>
                  <w:szCs w:val="14"/>
                </w:rPr>
                <w:t>LangGraph</w:t>
              </w:r>
            </w:hyperlink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MIT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长任务图、durable execution、HITL、状态</w:t>
            </w:r>
          </w:p>
        </w:tc>
        <w:tc>
          <w:tcPr>
            <w:tcW w:type="dxa" w:w="3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可选 adapter；不绑定业务状态</w:t>
            </w:r>
          </w:p>
        </w:tc>
      </w:tr>
      <w:tr>
        <w:trPr>
          <w:cantSplit/>
        </w:trPr>
        <w:tc>
          <w:tcPr>
            <w:tcW w:type="dxa" w:w="9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Agent 框架</w:t>
            </w:r>
          </w:p>
        </w:tc>
        <w:tc>
          <w:tcPr>
            <w:tcW w:type="dxa" w:w="17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hyperlink r:id="rId18">
              <w:r>
                <w:rPr>
                  <w:color w:val="0D6B67"/>
                  <w:u w:val="single"/>
                  <w:rFonts w:ascii="Noto Sans SC Thin" w:hAnsi="Noto Sans SC Thin" w:eastAsia="Noto Sans SC Thin"/>
                  <w:sz w:val="14"/>
                  <w:szCs w:val="14"/>
                </w:rPr>
                <w:t>CrewAI</w:t>
              </w:r>
            </w:hyperlink>
          </w:p>
        </w:tc>
        <w:tc>
          <w:tcPr>
            <w:tcW w:type="dxa" w:w="8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MIT</w:t>
            </w:r>
          </w:p>
        </w:tc>
        <w:tc>
          <w:tcPr>
            <w:tcW w:type="dxa" w:w="28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Crews、Flows、角色式协作</w:t>
            </w:r>
          </w:p>
        </w:tc>
        <w:tc>
          <w:tcPr>
            <w:tcW w:type="dxa" w:w="301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作为基线和 adapter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运行时/沙箱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hyperlink r:id="rId19">
              <w:r>
                <w:rPr>
                  <w:color w:val="0D6B67"/>
                  <w:u w:val="single"/>
                  <w:rFonts w:ascii="Noto Sans SC Thin" w:hAnsi="Noto Sans SC Thin" w:eastAsia="Noto Sans SC Thin"/>
                  <w:sz w:val="14"/>
                  <w:szCs w:val="14"/>
                </w:rPr>
                <w:t>AgentScope Runtime</w:t>
              </w:r>
            </w:hyperlink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Apache-2.0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Agent-as-a-Service、工具沙箱、部署、可观测、框架兼容</w:t>
            </w:r>
          </w:p>
        </w:tc>
        <w:tc>
          <w:tcPr>
            <w:tcW w:type="dxa" w:w="3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首选运行时复用候选</w:t>
            </w:r>
          </w:p>
        </w:tc>
      </w:tr>
      <w:tr>
        <w:trPr>
          <w:cantSplit/>
        </w:trPr>
        <w:tc>
          <w:tcPr>
            <w:tcW w:type="dxa" w:w="9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通信协议</w:t>
            </w:r>
          </w:p>
        </w:tc>
        <w:tc>
          <w:tcPr>
            <w:tcW w:type="dxa" w:w="17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hyperlink r:id="rId20">
              <w:r>
                <w:rPr>
                  <w:color w:val="0D6B67"/>
                  <w:u w:val="single"/>
                  <w:rFonts w:ascii="Noto Sans SC Thin" w:hAnsi="Noto Sans SC Thin" w:eastAsia="Noto Sans SC Thin"/>
                  <w:sz w:val="14"/>
                  <w:szCs w:val="14"/>
                </w:rPr>
                <w:t>A2A Protocol</w:t>
              </w:r>
            </w:hyperlink>
          </w:p>
        </w:tc>
        <w:tc>
          <w:tcPr>
            <w:tcW w:type="dxa" w:w="8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Apache-2.0</w:t>
            </w:r>
          </w:p>
        </w:tc>
        <w:tc>
          <w:tcPr>
            <w:tcW w:type="dxa" w:w="28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Agent Card、Task、Message、Artifact、流式与异步交互</w:t>
            </w:r>
          </w:p>
        </w:tc>
        <w:tc>
          <w:tcPr>
            <w:tcW w:type="dxa" w:w="301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直接采用，不另造协议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通信 SDK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hyperlink r:id="rId21">
              <w:r>
                <w:rPr>
                  <w:color w:val="0D6B67"/>
                  <w:u w:val="single"/>
                  <w:rFonts w:ascii="Noto Sans SC Thin" w:hAnsi="Noto Sans SC Thin" w:eastAsia="Noto Sans SC Thin"/>
                  <w:sz w:val="14"/>
                  <w:szCs w:val="14"/>
                </w:rPr>
                <w:t>A2A Python SDK</w:t>
              </w:r>
            </w:hyperlink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Apache-2.0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A2A 1.0 client/server、REST、JSON-RPC、gRPC、OTel</w:t>
            </w:r>
          </w:p>
        </w:tc>
        <w:tc>
          <w:tcPr>
            <w:tcW w:type="dxa" w:w="3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首个 Gateway SDK</w:t>
            </w:r>
          </w:p>
        </w:tc>
      </w:tr>
      <w:tr>
        <w:trPr>
          <w:cantSplit/>
        </w:trPr>
        <w:tc>
          <w:tcPr>
            <w:tcW w:type="dxa" w:w="9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工具协议</w:t>
            </w:r>
          </w:p>
        </w:tc>
        <w:tc>
          <w:tcPr>
            <w:tcW w:type="dxa" w:w="17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hyperlink r:id="rId22">
              <w:r>
                <w:rPr>
                  <w:color w:val="0D6B67"/>
                  <w:u w:val="single"/>
                  <w:rFonts w:ascii="Noto Sans SC Thin" w:hAnsi="Noto Sans SC Thin" w:eastAsia="Noto Sans SC Thin"/>
                  <w:sz w:val="14"/>
                  <w:szCs w:val="14"/>
                </w:rPr>
                <w:t>MCP Specification</w:t>
              </w:r>
            </w:hyperlink>
          </w:p>
        </w:tc>
        <w:tc>
          <w:tcPr>
            <w:tcW w:type="dxa" w:w="8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MIT/Apache-2.0 过渡</w:t>
            </w:r>
          </w:p>
        </w:tc>
        <w:tc>
          <w:tcPr>
            <w:tcW w:type="dxa" w:w="28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Tool、Resource、Prompt 与授权扩展</w:t>
            </w:r>
          </w:p>
        </w:tc>
        <w:tc>
          <w:tcPr>
            <w:tcW w:type="dxa" w:w="301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工具/数据标准接口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工具 SDK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hyperlink r:id="rId23">
              <w:r>
                <w:rPr>
                  <w:color w:val="0D6B67"/>
                  <w:u w:val="single"/>
                  <w:rFonts w:ascii="Noto Sans SC Thin" w:hAnsi="Noto Sans SC Thin" w:eastAsia="Noto Sans SC Thin"/>
                  <w:sz w:val="14"/>
                  <w:szCs w:val="14"/>
                </w:rPr>
                <w:t>MCP Python SDK</w:t>
              </w:r>
            </w:hyperlink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MIT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MCP client/server</w:t>
            </w:r>
          </w:p>
        </w:tc>
        <w:tc>
          <w:tcPr>
            <w:tcW w:type="dxa" w:w="3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Python adapter 基础</w:t>
            </w:r>
          </w:p>
        </w:tc>
      </w:tr>
      <w:tr>
        <w:trPr>
          <w:cantSplit/>
        </w:trPr>
        <w:tc>
          <w:tcPr>
            <w:tcW w:type="dxa" w:w="9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能力格式</w:t>
            </w:r>
          </w:p>
        </w:tc>
        <w:tc>
          <w:tcPr>
            <w:tcW w:type="dxa" w:w="17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hyperlink r:id="rId24">
              <w:r>
                <w:rPr>
                  <w:color w:val="0D6B67"/>
                  <w:u w:val="single"/>
                  <w:rFonts w:ascii="Noto Sans SC Thin" w:hAnsi="Noto Sans SC Thin" w:eastAsia="Noto Sans SC Thin"/>
                  <w:sz w:val="14"/>
                  <w:szCs w:val="14"/>
                </w:rPr>
                <w:t>Agent Skills Specification</w:t>
              </w:r>
            </w:hyperlink>
          </w:p>
        </w:tc>
        <w:tc>
          <w:tcPr>
            <w:tcW w:type="dxa" w:w="8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以仓库为准</w:t>
            </w:r>
          </w:p>
        </w:tc>
        <w:tc>
          <w:tcPr>
            <w:tcW w:type="dxa" w:w="28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SKILL.md、脚本、参考资料和资源包格式</w:t>
            </w:r>
          </w:p>
        </w:tc>
        <w:tc>
          <w:tcPr>
            <w:tcW w:type="dxa" w:w="301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扩展为可验证能力包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能力样例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hyperlink r:id="rId25">
              <w:r>
                <w:rPr>
                  <w:color w:val="0D6B67"/>
                  <w:u w:val="single"/>
                  <w:rFonts w:ascii="Noto Sans SC Thin" w:hAnsi="Noto Sans SC Thin" w:eastAsia="Noto Sans SC Thin"/>
                  <w:sz w:val="14"/>
                  <w:szCs w:val="14"/>
                </w:rPr>
                <w:t>Anthropic Skills</w:t>
              </w:r>
            </w:hyperlink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按目录复核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可复用 Skill 样例与目录组织</w:t>
            </w:r>
          </w:p>
        </w:tc>
        <w:tc>
          <w:tcPr>
            <w:tcW w:type="dxa" w:w="3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仅作样例和测试集</w:t>
            </w:r>
          </w:p>
        </w:tc>
      </w:tr>
      <w:tr>
        <w:trPr>
          <w:cantSplit/>
        </w:trPr>
        <w:tc>
          <w:tcPr>
            <w:tcW w:type="dxa" w:w="9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可靠执行</w:t>
            </w:r>
          </w:p>
        </w:tc>
        <w:tc>
          <w:tcPr>
            <w:tcW w:type="dxa" w:w="17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hyperlink r:id="rId26">
              <w:r>
                <w:rPr>
                  <w:color w:val="0D6B67"/>
                  <w:u w:val="single"/>
                  <w:rFonts w:ascii="Noto Sans SC Thin" w:hAnsi="Noto Sans SC Thin" w:eastAsia="Noto Sans SC Thin"/>
                  <w:sz w:val="14"/>
                  <w:szCs w:val="14"/>
                </w:rPr>
                <w:t>Temporal</w:t>
              </w:r>
            </w:hyperlink>
          </w:p>
        </w:tc>
        <w:tc>
          <w:tcPr>
            <w:tcW w:type="dxa" w:w="8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MIT</w:t>
            </w:r>
          </w:p>
        </w:tc>
        <w:tc>
          <w:tcPr>
            <w:tcW w:type="dxa" w:w="28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持久工作流、重试、恢复、补偿、定时器</w:t>
            </w:r>
          </w:p>
        </w:tc>
        <w:tc>
          <w:tcPr>
            <w:tcW w:type="dxa" w:w="301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出现真实可靠性瓶颈后再引入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身份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hyperlink r:id="rId27">
              <w:r>
                <w:rPr>
                  <w:color w:val="0D6B67"/>
                  <w:u w:val="single"/>
                  <w:rFonts w:ascii="Noto Sans SC Thin" w:hAnsi="Noto Sans SC Thin" w:eastAsia="Noto Sans SC Thin"/>
                  <w:sz w:val="14"/>
                  <w:szCs w:val="14"/>
                </w:rPr>
                <w:t>Keycloak</w:t>
              </w:r>
            </w:hyperlink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Apache-2.0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OIDC、用户/组织身份、认证</w:t>
            </w:r>
          </w:p>
        </w:tc>
        <w:tc>
          <w:tcPr>
            <w:tcW w:type="dxa" w:w="3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企业身份入口</w:t>
            </w:r>
          </w:p>
        </w:tc>
      </w:tr>
      <w:tr>
        <w:trPr>
          <w:cantSplit/>
        </w:trPr>
        <w:tc>
          <w:tcPr>
            <w:tcW w:type="dxa" w:w="9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关系权限</w:t>
            </w:r>
          </w:p>
        </w:tc>
        <w:tc>
          <w:tcPr>
            <w:tcW w:type="dxa" w:w="17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hyperlink r:id="rId28">
              <w:r>
                <w:rPr>
                  <w:color w:val="0D6B67"/>
                  <w:u w:val="single"/>
                  <w:rFonts w:ascii="Noto Sans SC Thin" w:hAnsi="Noto Sans SC Thin" w:eastAsia="Noto Sans SC Thin"/>
                  <w:sz w:val="14"/>
                  <w:szCs w:val="14"/>
                </w:rPr>
                <w:t>OpenFGA</w:t>
              </w:r>
            </w:hyperlink>
          </w:p>
        </w:tc>
        <w:tc>
          <w:tcPr>
            <w:tcW w:type="dxa" w:w="8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Apache-2.0</w:t>
            </w:r>
          </w:p>
        </w:tc>
        <w:tc>
          <w:tcPr>
            <w:tcW w:type="dxa" w:w="28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Zanzibar 风格细粒度关系授权</w:t>
            </w:r>
          </w:p>
        </w:tc>
        <w:tc>
          <w:tcPr>
            <w:tcW w:type="dxa" w:w="301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Owner/Workspace/Artifact 权限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策略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hyperlink r:id="rId29">
              <w:r>
                <w:rPr>
                  <w:color w:val="0D6B67"/>
                  <w:u w:val="single"/>
                  <w:rFonts w:ascii="Noto Sans SC Thin" w:hAnsi="Noto Sans SC Thin" w:eastAsia="Noto Sans SC Thin"/>
                  <w:sz w:val="14"/>
                  <w:szCs w:val="14"/>
                </w:rPr>
                <w:t>Open Policy Agent</w:t>
              </w:r>
            </w:hyperlink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Apache-2.0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Policy-as-Code、动态决策、Rego</w:t>
            </w:r>
          </w:p>
        </w:tc>
        <w:tc>
          <w:tcPr>
            <w:tcW w:type="dxa" w:w="3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Capability Policy Gate</w:t>
            </w:r>
          </w:p>
        </w:tc>
      </w:tr>
      <w:tr>
        <w:trPr>
          <w:cantSplit/>
        </w:trPr>
        <w:tc>
          <w:tcPr>
            <w:tcW w:type="dxa" w:w="9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事件总线</w:t>
            </w:r>
          </w:p>
        </w:tc>
        <w:tc>
          <w:tcPr>
            <w:tcW w:type="dxa" w:w="17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hyperlink r:id="rId30">
              <w:r>
                <w:rPr>
                  <w:color w:val="0D6B67"/>
                  <w:u w:val="single"/>
                  <w:rFonts w:ascii="Noto Sans SC Thin" w:hAnsi="Noto Sans SC Thin" w:eastAsia="Noto Sans SC Thin"/>
                  <w:sz w:val="14"/>
                  <w:szCs w:val="14"/>
                </w:rPr>
                <w:t>NATS Server</w:t>
              </w:r>
            </w:hyperlink>
          </w:p>
        </w:tc>
        <w:tc>
          <w:tcPr>
            <w:tcW w:type="dxa" w:w="8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Apache-2.0</w:t>
            </w:r>
          </w:p>
        </w:tc>
        <w:tc>
          <w:tcPr>
            <w:tcW w:type="dxa" w:w="28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消息、request/reply、JetStream、边缘部署</w:t>
            </w:r>
          </w:p>
        </w:tc>
        <w:tc>
          <w:tcPr>
            <w:tcW w:type="dxa" w:w="301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MVP 事件与 Agent inbox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数据库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hyperlink r:id="rId31">
              <w:r>
                <w:rPr>
                  <w:color w:val="0D6B67"/>
                  <w:u w:val="single"/>
                  <w:rFonts w:ascii="Noto Sans SC Thin" w:hAnsi="Noto Sans SC Thin" w:eastAsia="Noto Sans SC Thin"/>
                  <w:sz w:val="14"/>
                  <w:szCs w:val="14"/>
                </w:rPr>
                <w:t>PostgreSQL</w:t>
              </w:r>
            </w:hyperlink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PostgreSQL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事务、JSONB、关系模型、审计索引</w:t>
            </w:r>
          </w:p>
        </w:tc>
        <w:tc>
          <w:tcPr>
            <w:tcW w:type="dxa" w:w="3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控制面主数据库</w:t>
            </w:r>
          </w:p>
        </w:tc>
      </w:tr>
      <w:tr>
        <w:trPr>
          <w:cantSplit/>
        </w:trPr>
        <w:tc>
          <w:tcPr>
            <w:tcW w:type="dxa" w:w="9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可观测标准</w:t>
            </w:r>
          </w:p>
        </w:tc>
        <w:tc>
          <w:tcPr>
            <w:tcW w:type="dxa" w:w="17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hyperlink r:id="rId32">
              <w:r>
                <w:rPr>
                  <w:color w:val="0D6B67"/>
                  <w:u w:val="single"/>
                  <w:rFonts w:ascii="Noto Sans SC Thin" w:hAnsi="Noto Sans SC Thin" w:eastAsia="Noto Sans SC Thin"/>
                  <w:sz w:val="14"/>
                  <w:szCs w:val="14"/>
                </w:rPr>
                <w:t>OpenTelemetry Specification</w:t>
              </w:r>
            </w:hyperlink>
          </w:p>
        </w:tc>
        <w:tc>
          <w:tcPr>
            <w:tcW w:type="dxa" w:w="8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Apache-2.0</w:t>
            </w:r>
          </w:p>
        </w:tc>
        <w:tc>
          <w:tcPr>
            <w:tcW w:type="dxa" w:w="28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Trace、Metric、Log 与语义约定</w:t>
            </w:r>
          </w:p>
        </w:tc>
        <w:tc>
          <w:tcPr>
            <w:tcW w:type="dxa" w:w="301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统一遥测标准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Agent 可观测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hyperlink r:id="rId33">
              <w:r>
                <w:rPr>
                  <w:color w:val="0D6B67"/>
                  <w:u w:val="single"/>
                  <w:rFonts w:ascii="Noto Sans SC Thin" w:hAnsi="Noto Sans SC Thin" w:eastAsia="Noto Sans SC Thin"/>
                  <w:sz w:val="14"/>
                  <w:szCs w:val="14"/>
                </w:rPr>
                <w:t>Langfuse</w:t>
              </w:r>
            </w:hyperlink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MIT；ee 目录例外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Agent/LLM trace、数据集、实验、评测、Prompt 版本</w:t>
            </w:r>
          </w:p>
        </w:tc>
        <w:tc>
          <w:tcPr>
            <w:tcW w:type="dxa" w:w="3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试点期快速复用</w:t>
            </w:r>
          </w:p>
        </w:tc>
      </w:tr>
      <w:tr>
        <w:trPr>
          <w:cantSplit/>
        </w:trPr>
        <w:tc>
          <w:tcPr>
            <w:tcW w:type="dxa" w:w="9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评测/红队</w:t>
            </w:r>
          </w:p>
        </w:tc>
        <w:tc>
          <w:tcPr>
            <w:tcW w:type="dxa" w:w="17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hyperlink r:id="rId34">
              <w:r>
                <w:rPr>
                  <w:color w:val="0D6B67"/>
                  <w:u w:val="single"/>
                  <w:rFonts w:ascii="Noto Sans SC Thin" w:hAnsi="Noto Sans SC Thin" w:eastAsia="Noto Sans SC Thin"/>
                  <w:sz w:val="14"/>
                  <w:szCs w:val="14"/>
                </w:rPr>
                <w:t>Promptfoo</w:t>
              </w:r>
            </w:hyperlink>
          </w:p>
        </w:tc>
        <w:tc>
          <w:tcPr>
            <w:tcW w:type="dxa" w:w="8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MIT</w:t>
            </w:r>
          </w:p>
        </w:tc>
        <w:tc>
          <w:tcPr>
            <w:tcW w:type="dxa" w:w="28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回归测试、红队、安全评测、CI</w:t>
            </w:r>
          </w:p>
        </w:tc>
        <w:tc>
          <w:tcPr>
            <w:tcW w:type="dxa" w:w="301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能力晋级门禁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软件任务集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hyperlink r:id="rId35">
              <w:r>
                <w:rPr>
                  <w:color w:val="0D6B67"/>
                  <w:u w:val="single"/>
                  <w:rFonts w:ascii="Noto Sans SC Thin" w:hAnsi="Noto Sans SC Thin" w:eastAsia="Noto Sans SC Thin"/>
                  <w:sz w:val="14"/>
                  <w:szCs w:val="14"/>
                </w:rPr>
                <w:t>SWE-bench</w:t>
              </w:r>
            </w:hyperlink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MIT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真实 GitHub issue、Docker 验证</w:t>
            </w:r>
          </w:p>
        </w:tc>
        <w:tc>
          <w:tcPr>
            <w:tcW w:type="dxa" w:w="3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MOMAS-Bench 的单仓任务来源</w:t>
            </w:r>
          </w:p>
        </w:tc>
      </w:tr>
      <w:tr>
        <w:trPr>
          <w:cantSplit/>
        </w:trPr>
        <w:tc>
          <w:tcPr>
            <w:tcW w:type="dxa" w:w="9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个人 Agent</w:t>
            </w:r>
          </w:p>
        </w:tc>
        <w:tc>
          <w:tcPr>
            <w:tcW w:type="dxa" w:w="17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hyperlink r:id="rId36">
              <w:r>
                <w:rPr>
                  <w:color w:val="0D6B67"/>
                  <w:u w:val="single"/>
                  <w:rFonts w:ascii="Noto Sans SC Thin" w:hAnsi="Noto Sans SC Thin" w:eastAsia="Noto Sans SC Thin"/>
                  <w:sz w:val="14"/>
                  <w:szCs w:val="14"/>
                </w:rPr>
                <w:t>Codex CLI</w:t>
              </w:r>
            </w:hyperlink>
          </w:p>
        </w:tc>
        <w:tc>
          <w:tcPr>
            <w:tcW w:type="dxa" w:w="8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Apache-2.0</w:t>
            </w:r>
          </w:p>
        </w:tc>
        <w:tc>
          <w:tcPr>
            <w:tcW w:type="dxa" w:w="28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本地编码 Agent、SDK、MCP、权限模式</w:t>
            </w:r>
          </w:p>
        </w:tc>
        <w:tc>
          <w:tcPr>
            <w:tcW w:type="dxa" w:w="301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首批接入 Agent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个人 Agent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hyperlink r:id="rId37">
              <w:r>
                <w:rPr>
                  <w:color w:val="0D6B67"/>
                  <w:u w:val="single"/>
                  <w:rFonts w:ascii="Noto Sans SC Thin" w:hAnsi="Noto Sans SC Thin" w:eastAsia="Noto Sans SC Thin"/>
                  <w:sz w:val="14"/>
                  <w:szCs w:val="14"/>
                </w:rPr>
                <w:t>OpenCode</w:t>
              </w:r>
            </w:hyperlink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MIT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开源编码 Agent、模型多样性、MCP、Skills</w:t>
            </w:r>
          </w:p>
        </w:tc>
        <w:tc>
          <w:tcPr>
            <w:tcW w:type="dxa" w:w="3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首批接入 Agent</w:t>
            </w:r>
          </w:p>
        </w:tc>
      </w:tr>
      <w:tr>
        <w:trPr>
          <w:cantSplit/>
        </w:trPr>
        <w:tc>
          <w:tcPr>
            <w:tcW w:type="dxa" w:w="90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个人 Agent</w:t>
            </w:r>
          </w:p>
        </w:tc>
        <w:tc>
          <w:tcPr>
            <w:tcW w:type="dxa" w:w="17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hyperlink r:id="rId38">
              <w:r>
                <w:rPr>
                  <w:color w:val="0D6B67"/>
                  <w:u w:val="single"/>
                  <w:rFonts w:ascii="Noto Sans SC Thin" w:hAnsi="Noto Sans SC Thin" w:eastAsia="Noto Sans SC Thin"/>
                  <w:sz w:val="14"/>
                  <w:szCs w:val="14"/>
                </w:rPr>
                <w:t>Gemini CLI</w:t>
              </w:r>
            </w:hyperlink>
          </w:p>
        </w:tc>
        <w:tc>
          <w:tcPr>
            <w:tcW w:type="dxa" w:w="8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Apache-2.0</w:t>
            </w:r>
          </w:p>
        </w:tc>
        <w:tc>
          <w:tcPr>
            <w:tcW w:type="dxa" w:w="285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终端 Agent、MCP、Google 模型与工具</w:t>
            </w:r>
          </w:p>
        </w:tc>
        <w:tc>
          <w:tcPr>
            <w:tcW w:type="dxa" w:w="3010"/>
            <w:shd w:fill="F7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首批接入 Agent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模型网关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hyperlink r:id="rId39">
              <w:r>
                <w:rPr>
                  <w:color w:val="0D6B67"/>
                  <w:u w:val="single"/>
                  <w:rFonts w:ascii="Noto Sans SC Thin" w:hAnsi="Noto Sans SC Thin" w:eastAsia="Noto Sans SC Thin"/>
                  <w:sz w:val="14"/>
                  <w:szCs w:val="14"/>
                </w:rPr>
                <w:t>LiteLLM</w:t>
              </w:r>
            </w:hyperlink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以仓库为准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多模型统一 API、预算、路由、日志、guardrail</w:t>
            </w:r>
          </w:p>
        </w:tc>
        <w:tc>
          <w:tcPr>
            <w:tcW w:type="dxa" w:w="3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4"/>
              </w:rPr>
              <w:t>可选；不要让模型网关成为控制面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SC Thin" w:hAnsi="Noto Sans SC Thin" w:eastAsia="Noto Sans SC Thin"/>
        </w:rPr>
        <w:t>A.1 推荐直接复用与自主研发边界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700"/>
        <w:gridCol w:w="2600"/>
        <w:gridCol w:w="4060"/>
      </w:tblGrid>
      <w:tr>
        <w:trPr>
          <w:tblHeader w:val="true"/>
        </w:trPr>
        <w:tc>
          <w:tcPr>
            <w:tcW w:type="dxa" w:w="270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直接复用</w:t>
            </w:r>
          </w:p>
        </w:tc>
        <w:tc>
          <w:tcPr>
            <w:tcW w:type="dxa" w:w="260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通过 Adapter 复用</w:t>
            </w:r>
          </w:p>
        </w:tc>
        <w:tc>
          <w:tcPr>
            <w:tcW w:type="dxa" w:w="4060"/>
            <w:shd w:fill="183B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SC Thin" w:hAnsi="Noto Sans SC Thin" w:eastAsia="Noto Sans SC Thin"/>
                <w:b/>
                <w:i w:val="0"/>
                <w:color w:val="FFFFFF"/>
                <w:sz w:val="16"/>
              </w:rPr>
              <w:t>百工必须自主研发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A2A、MCP、Agent Skills 格式、PostgreSQL、NATS、Keycloak、OpenFGA/OPA、OpenTelemetry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OpenAgents、AgentScope Runtime、MAF、LangGraph、CrewAI、Langfuse、Promptfoo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i w:val="0"/>
                <w:color w:val="17212B"/>
                <w:sz w:val="16"/>
              </w:rPr>
              <w:t>MOMAS 数据模型、Workspace Manifest 扩展、Owner Boundary、Task Contract、Capability Supply Chain、Provenance、组织学习与 MOMAS-Bench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SC Thin" w:hAnsi="Noto Sans SC Thin" w:eastAsia="Noto Sans SC Thin"/>
        </w:rPr>
        <w:t>参考资料</w:t>
      </w:r>
    </w:p>
    <w:p>
      <w:pPr>
        <w:spacing w:before="0" w:after="120" w:line="274" w:lineRule="auto"/>
      </w:pPr>
      <w:r>
        <w:rPr>
          <w:rFonts w:ascii="Noto Sans SC Thin" w:hAnsi="Noto Sans SC Thin" w:eastAsia="Noto Sans SC Thin"/>
          <w:b w:val="0"/>
          <w:i w:val="0"/>
          <w:color w:val="17212B"/>
          <w:sz w:val="21"/>
        </w:rPr>
        <w:t>以下资料以官方文档、官方代码仓库和论文原文为主。产品能力快速变化，报告中的比较截至 2026 年 7 月 22 日。</w:t>
      </w:r>
    </w:p>
    <w:p>
      <w:pPr>
        <w:spacing w:before="0" w:after="80" w:line="252" w:lineRule="auto"/>
      </w:pPr>
      <w:hyperlink r:id="rId13">
        <w:r>
          <w:rPr>
            <w:color w:val="0D6B67"/>
            <w:u w:val="single"/>
            <w:rFonts w:ascii="Noto Sans SC Thin" w:hAnsi="Noto Sans SC Thin" w:eastAsia="Noto Sans SC Thin"/>
            <w:sz w:val="21"/>
            <w:szCs w:val="21"/>
          </w:rPr>
          <w:t>[1] OpenAgents — Collaboration OS for AI Agents</w:t>
        </w:r>
      </w:hyperlink>
    </w:p>
    <w:p>
      <w:pPr>
        <w:spacing w:before="0" w:after="80" w:line="252" w:lineRule="auto"/>
      </w:pPr>
      <w:hyperlink r:id="rId14">
        <w:r>
          <w:rPr>
            <w:color w:val="0D6B67"/>
            <w:u w:val="single"/>
            <w:rFonts w:ascii="Noto Sans SC Thin" w:hAnsi="Noto Sans SC Thin" w:eastAsia="Noto Sans SC Thin"/>
            <w:sz w:val="21"/>
            <w:szCs w:val="21"/>
          </w:rPr>
          <w:t>[2] Ruflo — Agent Meta-harness and Federation</w:t>
        </w:r>
      </w:hyperlink>
    </w:p>
    <w:p>
      <w:pPr>
        <w:spacing w:before="0" w:after="80" w:line="252" w:lineRule="auto"/>
      </w:pPr>
      <w:hyperlink r:id="rId15">
        <w:r>
          <w:rPr>
            <w:color w:val="0D6B67"/>
            <w:u w:val="single"/>
            <w:rFonts w:ascii="Noto Sans SC Thin" w:hAnsi="Noto Sans SC Thin" w:eastAsia="Noto Sans SC Thin"/>
            <w:sz w:val="21"/>
            <w:szCs w:val="21"/>
          </w:rPr>
          <w:t>[3] Gas Town — Multi-agent Workspace Manager</w:t>
        </w:r>
      </w:hyperlink>
    </w:p>
    <w:p>
      <w:pPr>
        <w:spacing w:before="0" w:after="80" w:line="252" w:lineRule="auto"/>
      </w:pPr>
      <w:hyperlink r:id="rId40">
        <w:r>
          <w:rPr>
            <w:color w:val="0D6B67"/>
            <w:u w:val="single"/>
            <w:rFonts w:ascii="Noto Sans SC Thin" w:hAnsi="Noto Sans SC Thin" w:eastAsia="Noto Sans SC Thin"/>
            <w:sz w:val="21"/>
            <w:szCs w:val="21"/>
          </w:rPr>
          <w:t>[4] OpenAgents Launcher and Workspace Documentation</w:t>
        </w:r>
      </w:hyperlink>
    </w:p>
    <w:p>
      <w:pPr>
        <w:spacing w:before="0" w:after="80" w:line="252" w:lineRule="auto"/>
      </w:pPr>
      <w:hyperlink r:id="rId41">
        <w:r>
          <w:rPr>
            <w:color w:val="0D6B67"/>
            <w:u w:val="single"/>
            <w:rFonts w:ascii="Noto Sans SC Thin" w:hAnsi="Noto Sans SC Thin" w:eastAsia="Noto Sans SC Thin"/>
            <w:sz w:val="21"/>
            <w:szCs w:val="21"/>
          </w:rPr>
          <w:t>[5] Gas Town Agent Provider Integration</w:t>
        </w:r>
      </w:hyperlink>
    </w:p>
    <w:p>
      <w:pPr>
        <w:spacing w:before="0" w:after="80" w:line="252" w:lineRule="auto"/>
      </w:pPr>
      <w:hyperlink r:id="rId16">
        <w:r>
          <w:rPr>
            <w:color w:val="0D6B67"/>
            <w:u w:val="single"/>
            <w:rFonts w:ascii="Noto Sans SC Thin" w:hAnsi="Noto Sans SC Thin" w:eastAsia="Noto Sans SC Thin"/>
            <w:sz w:val="21"/>
            <w:szCs w:val="21"/>
          </w:rPr>
          <w:t>[6] Microsoft Agent Framework</w:t>
        </w:r>
      </w:hyperlink>
    </w:p>
    <w:p>
      <w:pPr>
        <w:spacing w:before="0" w:after="80" w:line="252" w:lineRule="auto"/>
      </w:pPr>
      <w:hyperlink r:id="rId17">
        <w:r>
          <w:rPr>
            <w:color w:val="0D6B67"/>
            <w:u w:val="single"/>
            <w:rFonts w:ascii="Noto Sans SC Thin" w:hAnsi="Noto Sans SC Thin" w:eastAsia="Noto Sans SC Thin"/>
            <w:sz w:val="21"/>
            <w:szCs w:val="21"/>
          </w:rPr>
          <w:t>[7] LangGraph</w:t>
        </w:r>
      </w:hyperlink>
    </w:p>
    <w:p>
      <w:pPr>
        <w:spacing w:before="0" w:after="80" w:line="252" w:lineRule="auto"/>
      </w:pPr>
      <w:hyperlink r:id="rId18">
        <w:r>
          <w:rPr>
            <w:color w:val="0D6B67"/>
            <w:u w:val="single"/>
            <w:rFonts w:ascii="Noto Sans SC Thin" w:hAnsi="Noto Sans SC Thin" w:eastAsia="Noto Sans SC Thin"/>
            <w:sz w:val="21"/>
            <w:szCs w:val="21"/>
          </w:rPr>
          <w:t>[8] CrewAI</w:t>
        </w:r>
      </w:hyperlink>
    </w:p>
    <w:p>
      <w:pPr>
        <w:spacing w:before="0" w:after="80" w:line="252" w:lineRule="auto"/>
      </w:pPr>
      <w:hyperlink r:id="rId19">
        <w:r>
          <w:rPr>
            <w:color w:val="0D6B67"/>
            <w:u w:val="single"/>
            <w:rFonts w:ascii="Noto Sans SC Thin" w:hAnsi="Noto Sans SC Thin" w:eastAsia="Noto Sans SC Thin"/>
            <w:sz w:val="21"/>
            <w:szCs w:val="21"/>
          </w:rPr>
          <w:t>[9] AgentScope Runtime</w:t>
        </w:r>
      </w:hyperlink>
    </w:p>
    <w:p>
      <w:pPr>
        <w:spacing w:before="0" w:after="80" w:line="252" w:lineRule="auto"/>
      </w:pPr>
      <w:hyperlink r:id="rId42">
        <w:r>
          <w:rPr>
            <w:color w:val="0D6B67"/>
            <w:u w:val="single"/>
            <w:rFonts w:ascii="Noto Sans SC Thin" w:hAnsi="Noto Sans SC Thin" w:eastAsia="Noto Sans SC Thin"/>
            <w:sz w:val="21"/>
            <w:szCs w:val="21"/>
          </w:rPr>
          <w:t>[10] OpenAI Workspace Agents</w:t>
        </w:r>
      </w:hyperlink>
    </w:p>
    <w:p>
      <w:pPr>
        <w:spacing w:before="0" w:after="80" w:line="252" w:lineRule="auto"/>
      </w:pPr>
      <w:hyperlink r:id="rId43">
        <w:r>
          <w:rPr>
            <w:color w:val="0D6B67"/>
            <w:u w:val="single"/>
            <w:rFonts w:ascii="Noto Sans SC Thin" w:hAnsi="Noto Sans SC Thin" w:eastAsia="Noto Sans SC Thin"/>
            <w:sz w:val="21"/>
            <w:szCs w:val="21"/>
          </w:rPr>
          <w:t>[11] Microsoft Copilot Studio Multi-agent Orchestration</w:t>
        </w:r>
      </w:hyperlink>
    </w:p>
    <w:p>
      <w:pPr>
        <w:spacing w:before="0" w:after="80" w:line="252" w:lineRule="auto"/>
      </w:pPr>
      <w:hyperlink r:id="rId44">
        <w:r>
          <w:rPr>
            <w:color w:val="0D6B67"/>
            <w:u w:val="single"/>
            <w:rFonts w:ascii="Noto Sans SC Thin" w:hAnsi="Noto Sans SC Thin" w:eastAsia="Noto Sans SC Thin"/>
            <w:sz w:val="21"/>
            <w:szCs w:val="21"/>
          </w:rPr>
          <w:t>[12] Gemini Enterprise Agent Platform</w:t>
        </w:r>
      </w:hyperlink>
    </w:p>
    <w:p>
      <w:pPr>
        <w:spacing w:before="0" w:after="80" w:line="252" w:lineRule="auto"/>
      </w:pPr>
      <w:hyperlink r:id="rId45">
        <w:r>
          <w:rPr>
            <w:color w:val="0D6B67"/>
            <w:u w:val="single"/>
            <w:rFonts w:ascii="Noto Sans SC Thin" w:hAnsi="Noto Sans SC Thin" w:eastAsia="Noto Sans SC Thin"/>
            <w:sz w:val="21"/>
            <w:szCs w:val="21"/>
          </w:rPr>
          <w:t>[13] Salesforce Agent Fabric</w:t>
        </w:r>
      </w:hyperlink>
    </w:p>
    <w:p>
      <w:pPr>
        <w:spacing w:before="0" w:after="80" w:line="252" w:lineRule="auto"/>
      </w:pPr>
      <w:hyperlink r:id="rId46">
        <w:r>
          <w:rPr>
            <w:color w:val="0D6B67"/>
            <w:u w:val="single"/>
            <w:rFonts w:ascii="Noto Sans SC Thin" w:hAnsi="Noto Sans SC Thin" w:eastAsia="Noto Sans SC Thin"/>
            <w:sz w:val="21"/>
            <w:szCs w:val="21"/>
          </w:rPr>
          <w:t>[14] Agent2Agent Protocol Specification</w:t>
        </w:r>
      </w:hyperlink>
    </w:p>
    <w:p>
      <w:pPr>
        <w:spacing w:before="0" w:after="80" w:line="252" w:lineRule="auto"/>
      </w:pPr>
      <w:hyperlink r:id="rId47">
        <w:r>
          <w:rPr>
            <w:color w:val="0D6B67"/>
            <w:u w:val="single"/>
            <w:rFonts w:ascii="Noto Sans SC Thin" w:hAnsi="Noto Sans SC Thin" w:eastAsia="Noto Sans SC Thin"/>
            <w:sz w:val="21"/>
            <w:szCs w:val="21"/>
          </w:rPr>
          <w:t>[15] Model Context Protocol Architecture</w:t>
        </w:r>
      </w:hyperlink>
    </w:p>
    <w:p>
      <w:pPr>
        <w:spacing w:before="0" w:after="80" w:line="252" w:lineRule="auto"/>
      </w:pPr>
      <w:hyperlink r:id="rId48">
        <w:r>
          <w:rPr>
            <w:color w:val="0D6B67"/>
            <w:u w:val="single"/>
            <w:rFonts w:ascii="Noto Sans SC Thin" w:hAnsi="Noto Sans SC Thin" w:eastAsia="Noto Sans SC Thin"/>
            <w:sz w:val="21"/>
            <w:szCs w:val="21"/>
          </w:rPr>
          <w:t>[16] AutoGen: Enabling Next-Gen LLM Applications via Multi-Agent Conversation</w:t>
        </w:r>
      </w:hyperlink>
    </w:p>
    <w:p>
      <w:pPr>
        <w:spacing w:before="0" w:after="80" w:line="252" w:lineRule="auto"/>
      </w:pPr>
      <w:hyperlink r:id="rId49">
        <w:r>
          <w:rPr>
            <w:color w:val="0D6B67"/>
            <w:u w:val="single"/>
            <w:rFonts w:ascii="Noto Sans SC Thin" w:hAnsi="Noto Sans SC Thin" w:eastAsia="Noto Sans SC Thin"/>
            <w:sz w:val="21"/>
            <w:szCs w:val="21"/>
          </w:rPr>
          <w:t>[17] AgentScope: A Flexible yet Robust Multi-Agent Platform</w:t>
        </w:r>
      </w:hyperlink>
    </w:p>
    <w:p>
      <w:pPr>
        <w:spacing w:before="0" w:after="80" w:line="252" w:lineRule="auto"/>
      </w:pPr>
      <w:hyperlink r:id="rId50">
        <w:r>
          <w:rPr>
            <w:color w:val="0D6B67"/>
            <w:u w:val="single"/>
            <w:rFonts w:ascii="Noto Sans SC Thin" w:hAnsi="Noto Sans SC Thin" w:eastAsia="Noto Sans SC Thin"/>
            <w:sz w:val="21"/>
            <w:szCs w:val="21"/>
          </w:rPr>
          <w:t>[18] Federation of Agents: A Semantics-Aware Communication Fabric</w:t>
        </w:r>
      </w:hyperlink>
    </w:p>
    <w:p>
      <w:pPr>
        <w:spacing w:before="0" w:after="80" w:line="252" w:lineRule="auto"/>
      </w:pPr>
      <w:hyperlink r:id="rId51">
        <w:r>
          <w:rPr>
            <w:color w:val="0D6B67"/>
            <w:u w:val="single"/>
            <w:rFonts w:ascii="Noto Sans SC Thin" w:hAnsi="Noto Sans SC Thin" w:eastAsia="Noto Sans SC Thin"/>
            <w:sz w:val="21"/>
            <w:szCs w:val="21"/>
          </w:rPr>
          <w:t>[19] FederatedSkill: Federated Learning for Agentic Skill Evolution</w:t>
        </w:r>
      </w:hyperlink>
    </w:p>
    <w:p>
      <w:pPr>
        <w:spacing w:before="0" w:after="80" w:line="252" w:lineRule="auto"/>
      </w:pPr>
      <w:hyperlink r:id="rId52">
        <w:r>
          <w:rPr>
            <w:color w:val="0D6B67"/>
            <w:u w:val="single"/>
            <w:rFonts w:ascii="Noto Sans SC Thin" w:hAnsi="Noto Sans SC Thin" w:eastAsia="Noto Sans SC Thin"/>
            <w:sz w:val="21"/>
            <w:szCs w:val="21"/>
          </w:rPr>
          <w:t>[20] MetaGPT: Meta Programming for a Multi-Agent Collaborative Framework</w:t>
        </w:r>
      </w:hyperlink>
    </w:p>
    <w:p>
      <w:pPr>
        <w:spacing w:before="0" w:after="80" w:line="252" w:lineRule="auto"/>
      </w:pPr>
      <w:hyperlink r:id="rId53">
        <w:r>
          <w:rPr>
            <w:color w:val="0D6B67"/>
            <w:u w:val="single"/>
            <w:rFonts w:ascii="Noto Sans SC Thin" w:hAnsi="Noto Sans SC Thin" w:eastAsia="Noto Sans SC Thin"/>
            <w:sz w:val="21"/>
            <w:szCs w:val="21"/>
          </w:rPr>
          <w:t>[21] MultiAgentBench: Evaluating Collaboration and Competition</w:t>
        </w:r>
      </w:hyperlink>
    </w:p>
    <w:p>
      <w:pPr>
        <w:spacing w:before="0" w:after="80" w:line="252" w:lineRule="auto"/>
      </w:pPr>
      <w:hyperlink r:id="rId54">
        <w:r>
          <w:rPr>
            <w:color w:val="0D6B67"/>
            <w:u w:val="single"/>
            <w:rFonts w:ascii="Noto Sans SC Thin" w:hAnsi="Noto Sans SC Thin" w:eastAsia="Noto Sans SC Thin"/>
            <w:sz w:val="21"/>
            <w:szCs w:val="21"/>
          </w:rPr>
          <w:t>[22] AgentNet: Decentralized Evolutionary Coordination</w:t>
        </w:r>
      </w:hyperlink>
    </w:p>
    <w:p>
      <w:pPr>
        <w:spacing w:before="0" w:after="80" w:line="252" w:lineRule="auto"/>
      </w:pPr>
      <w:hyperlink r:id="rId55">
        <w:r>
          <w:rPr>
            <w:color w:val="0D6B67"/>
            <w:u w:val="single"/>
            <w:rFonts w:ascii="Noto Sans SC Thin" w:hAnsi="Noto Sans SC Thin" w:eastAsia="Noto Sans SC Thin"/>
            <w:sz w:val="21"/>
            <w:szCs w:val="21"/>
          </w:rPr>
          <w:t>[23] LLM-Based Human-Agent Collaboration and Interaction Systems</w:t>
        </w:r>
      </w:hyperlink>
    </w:p>
    <w:p>
      <w:pPr>
        <w:spacing w:before="0" w:after="80" w:line="252" w:lineRule="auto"/>
      </w:pPr>
      <w:hyperlink r:id="rId56">
        <w:r>
          <w:rPr>
            <w:color w:val="0D6B67"/>
            <w:u w:val="single"/>
            <w:rFonts w:ascii="Noto Sans SC Thin" w:hAnsi="Noto Sans SC Thin" w:eastAsia="Noto Sans SC Thin"/>
            <w:sz w:val="21"/>
            <w:szCs w:val="21"/>
          </w:rPr>
          <w:t>[24] Why Coding Agents Cannot be Your Teammates Yet</w:t>
        </w:r>
      </w:hyperlink>
    </w:p>
    <w:p>
      <w:pPr>
        <w:spacing w:before="0" w:after="80" w:line="252" w:lineRule="auto"/>
      </w:pPr>
      <w:hyperlink r:id="rId57">
        <w:r>
          <w:rPr>
            <w:color w:val="0D6B67"/>
            <w:u w:val="single"/>
            <w:rFonts w:ascii="Noto Sans SC Thin" w:hAnsi="Noto Sans SC Thin" w:eastAsia="Noto Sans SC Thin"/>
            <w:sz w:val="21"/>
            <w:szCs w:val="21"/>
          </w:rPr>
          <w:t>[25] 《周礼·冬官考工记》</w:t>
        </w:r>
      </w:hyperlink>
    </w:p>
    <w:p>
      <w:pPr>
        <w:spacing w:before="0" w:after="80" w:line="252" w:lineRule="auto"/>
      </w:pPr>
      <w:hyperlink r:id="rId58">
        <w:r>
          <w:rPr>
            <w:color w:val="0D6B67"/>
            <w:u w:val="single"/>
            <w:rFonts w:ascii="Noto Sans SC Thin" w:hAnsi="Noto Sans SC Thin" w:eastAsia="Noto Sans SC Thin"/>
            <w:sz w:val="21"/>
            <w:szCs w:val="21"/>
          </w:rPr>
          <w:t>[26] 《考工记》：中国第一部工科巨著</w:t>
        </w:r>
      </w:hyperlink>
    </w:p>
    <w:p>
      <w:pPr>
        <w:spacing w:before="0" w:after="80" w:line="252" w:lineRule="auto"/>
      </w:pPr>
      <w:hyperlink r:id="rId59">
        <w:r>
          <w:rPr>
            <w:color w:val="0D6B67"/>
            <w:u w:val="single"/>
            <w:rFonts w:ascii="Noto Sans SC Thin" w:hAnsi="Noto Sans SC Thin" w:eastAsia="Noto Sans SC Thin"/>
            <w:sz w:val="21"/>
            <w:szCs w:val="21"/>
          </w:rPr>
          <w:t>[27] “物勒工名”与传统工匠精神传承</w:t>
        </w:r>
      </w:hyperlink>
    </w:p>
    <w:p>
      <w:pPr>
        <w:spacing w:before="0" w:after="80" w:line="252" w:lineRule="auto"/>
      </w:pPr>
      <w:hyperlink r:id="rId60">
        <w:r>
          <w:rPr>
            <w:color w:val="0D6B67"/>
            <w:u w:val="single"/>
            <w:rFonts w:ascii="Noto Sans SC Thin" w:hAnsi="Noto Sans SC Thin" w:eastAsia="Noto Sans SC Thin"/>
            <w:sz w:val="21"/>
            <w:szCs w:val="21"/>
          </w:rPr>
          <w:t>[28] ServiceNow AI Agent Fabric</w:t>
        </w:r>
      </w:hyperlink>
    </w:p>
    <w:p>
      <w:pPr>
        <w:spacing w:before="0" w:after="80" w:line="252" w:lineRule="auto"/>
      </w:pPr>
      <w:hyperlink r:id="rId61">
        <w:r>
          <w:rPr>
            <w:color w:val="0D6B67"/>
            <w:u w:val="single"/>
            <w:rFonts w:ascii="Noto Sans SC Thin" w:hAnsi="Noto Sans SC Thin" w:eastAsia="Noto Sans SC Thin"/>
            <w:sz w:val="21"/>
            <w:szCs w:val="21"/>
          </w:rPr>
          <w:t>[29] EntCollabBench: Enterprise Multi-Agent Collaboration Benchmark</w:t>
        </w:r>
      </w:hyperlink>
    </w:p>
    <w:p>
      <w:pPr>
        <w:spacing w:before="0" w:after="80" w:line="252" w:lineRule="auto"/>
      </w:pPr>
      <w:hyperlink r:id="rId20">
        <w:r>
          <w:rPr>
            <w:color w:val="0D6B67"/>
            <w:u w:val="single"/>
            <w:rFonts w:ascii="Noto Sans SC Thin" w:hAnsi="Noto Sans SC Thin" w:eastAsia="Noto Sans SC Thin"/>
            <w:sz w:val="21"/>
            <w:szCs w:val="21"/>
          </w:rPr>
          <w:t>[30] A2A Protocol — Official GitHub Repository</w:t>
        </w:r>
      </w:hyperlink>
    </w:p>
    <w:p>
      <w:pPr>
        <w:spacing w:before="0" w:after="80" w:line="252" w:lineRule="auto"/>
      </w:pPr>
      <w:hyperlink r:id="rId21">
        <w:r>
          <w:rPr>
            <w:color w:val="0D6B67"/>
            <w:u w:val="single"/>
            <w:rFonts w:ascii="Noto Sans SC Thin" w:hAnsi="Noto Sans SC Thin" w:eastAsia="Noto Sans SC Thin"/>
            <w:sz w:val="21"/>
            <w:szCs w:val="21"/>
          </w:rPr>
          <w:t>[31] A2A Python SDK</w:t>
        </w:r>
      </w:hyperlink>
    </w:p>
    <w:p>
      <w:pPr>
        <w:spacing w:before="0" w:after="80" w:line="252" w:lineRule="auto"/>
      </w:pPr>
      <w:hyperlink r:id="rId22">
        <w:r>
          <w:rPr>
            <w:color w:val="0D6B67"/>
            <w:u w:val="single"/>
            <w:rFonts w:ascii="Noto Sans SC Thin" w:hAnsi="Noto Sans SC Thin" w:eastAsia="Noto Sans SC Thin"/>
            <w:sz w:val="21"/>
            <w:szCs w:val="21"/>
          </w:rPr>
          <w:t>[32] Model Context Protocol — Specification and Documentation</w:t>
        </w:r>
      </w:hyperlink>
    </w:p>
    <w:p>
      <w:pPr>
        <w:spacing w:before="0" w:after="80" w:line="252" w:lineRule="auto"/>
      </w:pPr>
      <w:hyperlink r:id="rId23">
        <w:r>
          <w:rPr>
            <w:color w:val="0D6B67"/>
            <w:u w:val="single"/>
            <w:rFonts w:ascii="Noto Sans SC Thin" w:hAnsi="Noto Sans SC Thin" w:eastAsia="Noto Sans SC Thin"/>
            <w:sz w:val="21"/>
            <w:szCs w:val="21"/>
          </w:rPr>
          <w:t>[33] MCP Python SDK</w:t>
        </w:r>
      </w:hyperlink>
    </w:p>
    <w:p>
      <w:pPr>
        <w:spacing w:before="0" w:after="80" w:line="252" w:lineRule="auto"/>
      </w:pPr>
      <w:hyperlink r:id="rId62">
        <w:r>
          <w:rPr>
            <w:color w:val="0D6B67"/>
            <w:u w:val="single"/>
            <w:rFonts w:ascii="Noto Sans SC Thin" w:hAnsi="Noto Sans SC Thin" w:eastAsia="Noto Sans SC Thin"/>
            <w:sz w:val="21"/>
            <w:szCs w:val="21"/>
          </w:rPr>
          <w:t>[34] MCP Reference Servers</w:t>
        </w:r>
      </w:hyperlink>
    </w:p>
    <w:p>
      <w:pPr>
        <w:spacing w:before="0" w:after="80" w:line="252" w:lineRule="auto"/>
      </w:pPr>
      <w:hyperlink r:id="rId24">
        <w:r>
          <w:rPr>
            <w:color w:val="0D6B67"/>
            <w:u w:val="single"/>
            <w:rFonts w:ascii="Noto Sans SC Thin" w:hAnsi="Noto Sans SC Thin" w:eastAsia="Noto Sans SC Thin"/>
            <w:sz w:val="21"/>
            <w:szCs w:val="21"/>
          </w:rPr>
          <w:t>[35] Agent Skills — Open Specification</w:t>
        </w:r>
      </w:hyperlink>
    </w:p>
    <w:p>
      <w:pPr>
        <w:spacing w:before="0" w:after="80" w:line="252" w:lineRule="auto"/>
      </w:pPr>
      <w:hyperlink r:id="rId26">
        <w:r>
          <w:rPr>
            <w:color w:val="0D6B67"/>
            <w:u w:val="single"/>
            <w:rFonts w:ascii="Noto Sans SC Thin" w:hAnsi="Noto Sans SC Thin" w:eastAsia="Noto Sans SC Thin"/>
            <w:sz w:val="21"/>
            <w:szCs w:val="21"/>
          </w:rPr>
          <w:t>[36] Temporal — Durable Execution Platform</w:t>
        </w:r>
      </w:hyperlink>
    </w:p>
    <w:p>
      <w:pPr>
        <w:spacing w:before="0" w:after="80" w:line="252" w:lineRule="auto"/>
      </w:pPr>
      <w:hyperlink r:id="rId27">
        <w:r>
          <w:rPr>
            <w:color w:val="0D6B67"/>
            <w:u w:val="single"/>
            <w:rFonts w:ascii="Noto Sans SC Thin" w:hAnsi="Noto Sans SC Thin" w:eastAsia="Noto Sans SC Thin"/>
            <w:sz w:val="21"/>
            <w:szCs w:val="21"/>
          </w:rPr>
          <w:t>[37] Keycloak — Identity and Access Management</w:t>
        </w:r>
      </w:hyperlink>
    </w:p>
    <w:p>
      <w:pPr>
        <w:spacing w:before="0" w:after="80" w:line="252" w:lineRule="auto"/>
      </w:pPr>
      <w:hyperlink r:id="rId28">
        <w:r>
          <w:rPr>
            <w:color w:val="0D6B67"/>
            <w:u w:val="single"/>
            <w:rFonts w:ascii="Noto Sans SC Thin" w:hAnsi="Noto Sans SC Thin" w:eastAsia="Noto Sans SC Thin"/>
            <w:sz w:val="21"/>
            <w:szCs w:val="21"/>
          </w:rPr>
          <w:t>[38] OpenFGA — Fine-Grained Authorization</w:t>
        </w:r>
      </w:hyperlink>
    </w:p>
    <w:p>
      <w:pPr>
        <w:spacing w:before="0" w:after="80" w:line="252" w:lineRule="auto"/>
      </w:pPr>
      <w:hyperlink r:id="rId29">
        <w:r>
          <w:rPr>
            <w:color w:val="0D6B67"/>
            <w:u w:val="single"/>
            <w:rFonts w:ascii="Noto Sans SC Thin" w:hAnsi="Noto Sans SC Thin" w:eastAsia="Noto Sans SC Thin"/>
            <w:sz w:val="21"/>
            <w:szCs w:val="21"/>
          </w:rPr>
          <w:t>[39] Open Policy Agent</w:t>
        </w:r>
      </w:hyperlink>
    </w:p>
    <w:p>
      <w:pPr>
        <w:spacing w:before="0" w:after="80" w:line="252" w:lineRule="auto"/>
      </w:pPr>
      <w:hyperlink r:id="rId31">
        <w:r>
          <w:rPr>
            <w:color w:val="0D6B67"/>
            <w:u w:val="single"/>
            <w:rFonts w:ascii="Noto Sans SC Thin" w:hAnsi="Noto Sans SC Thin" w:eastAsia="Noto Sans SC Thin"/>
            <w:sz w:val="21"/>
            <w:szCs w:val="21"/>
          </w:rPr>
          <w:t>[40] PostgreSQL</w:t>
        </w:r>
      </w:hyperlink>
    </w:p>
    <w:p>
      <w:pPr>
        <w:spacing w:before="0" w:after="80" w:line="252" w:lineRule="auto"/>
      </w:pPr>
      <w:hyperlink r:id="rId30">
        <w:r>
          <w:rPr>
            <w:color w:val="0D6B67"/>
            <w:u w:val="single"/>
            <w:rFonts w:ascii="Noto Sans SC Thin" w:hAnsi="Noto Sans SC Thin" w:eastAsia="Noto Sans SC Thin"/>
            <w:sz w:val="21"/>
            <w:szCs w:val="21"/>
          </w:rPr>
          <w:t>[41] NATS Server</w:t>
        </w:r>
      </w:hyperlink>
    </w:p>
    <w:p>
      <w:pPr>
        <w:spacing w:before="0" w:after="80" w:line="252" w:lineRule="auto"/>
      </w:pPr>
      <w:hyperlink r:id="rId32">
        <w:r>
          <w:rPr>
            <w:color w:val="0D6B67"/>
            <w:u w:val="single"/>
            <w:rFonts w:ascii="Noto Sans SC Thin" w:hAnsi="Noto Sans SC Thin" w:eastAsia="Noto Sans SC Thin"/>
            <w:sz w:val="21"/>
            <w:szCs w:val="21"/>
          </w:rPr>
          <w:t>[42] OpenTelemetry Specification</w:t>
        </w:r>
      </w:hyperlink>
    </w:p>
    <w:p>
      <w:pPr>
        <w:spacing w:before="0" w:after="80" w:line="252" w:lineRule="auto"/>
      </w:pPr>
      <w:hyperlink r:id="rId33">
        <w:r>
          <w:rPr>
            <w:color w:val="0D6B67"/>
            <w:u w:val="single"/>
            <w:rFonts w:ascii="Noto Sans SC Thin" w:hAnsi="Noto Sans SC Thin" w:eastAsia="Noto Sans SC Thin"/>
            <w:sz w:val="21"/>
            <w:szCs w:val="21"/>
          </w:rPr>
          <w:t>[43] Langfuse — Open Source LLM/Agent Engineering Platform</w:t>
        </w:r>
      </w:hyperlink>
    </w:p>
    <w:p>
      <w:pPr>
        <w:spacing w:before="0" w:after="80" w:line="252" w:lineRule="auto"/>
      </w:pPr>
      <w:hyperlink r:id="rId34">
        <w:r>
          <w:rPr>
            <w:color w:val="0D6B67"/>
            <w:u w:val="single"/>
            <w:rFonts w:ascii="Noto Sans SC Thin" w:hAnsi="Noto Sans SC Thin" w:eastAsia="Noto Sans SC Thin"/>
            <w:sz w:val="21"/>
            <w:szCs w:val="21"/>
          </w:rPr>
          <w:t>[44] Promptfoo — LLM Evaluations and Red Teaming</w:t>
        </w:r>
      </w:hyperlink>
    </w:p>
    <w:p>
      <w:pPr>
        <w:spacing w:before="0" w:after="80" w:line="252" w:lineRule="auto"/>
      </w:pPr>
      <w:hyperlink r:id="rId35">
        <w:r>
          <w:rPr>
            <w:color w:val="0D6B67"/>
            <w:u w:val="single"/>
            <w:rFonts w:ascii="Noto Sans SC Thin" w:hAnsi="Noto Sans SC Thin" w:eastAsia="Noto Sans SC Thin"/>
            <w:sz w:val="21"/>
            <w:szCs w:val="21"/>
          </w:rPr>
          <w:t>[45] SWE-bench</w:t>
        </w:r>
      </w:hyperlink>
    </w:p>
    <w:p>
      <w:pPr>
        <w:spacing w:before="0" w:after="80" w:line="252" w:lineRule="auto"/>
      </w:pPr>
      <w:hyperlink r:id="rId25">
        <w:r>
          <w:rPr>
            <w:color w:val="0D6B67"/>
            <w:u w:val="single"/>
            <w:rFonts w:ascii="Noto Sans SC Thin" w:hAnsi="Noto Sans SC Thin" w:eastAsia="Noto Sans SC Thin"/>
            <w:sz w:val="21"/>
            <w:szCs w:val="21"/>
          </w:rPr>
          <w:t>[46] Anthropic Skills Examples</w:t>
        </w:r>
      </w:hyperlink>
    </w:p>
    <w:p>
      <w:pPr>
        <w:spacing w:before="0" w:after="80" w:line="252" w:lineRule="auto"/>
      </w:pPr>
      <w:hyperlink r:id="rId36">
        <w:r>
          <w:rPr>
            <w:color w:val="0D6B67"/>
            <w:u w:val="single"/>
            <w:rFonts w:ascii="Noto Sans SC Thin" w:hAnsi="Noto Sans SC Thin" w:eastAsia="Noto Sans SC Thin"/>
            <w:sz w:val="21"/>
            <w:szCs w:val="21"/>
          </w:rPr>
          <w:t>[47] Codex CLI</w:t>
        </w:r>
      </w:hyperlink>
    </w:p>
    <w:p>
      <w:pPr>
        <w:spacing w:before="0" w:after="80" w:line="252" w:lineRule="auto"/>
      </w:pPr>
      <w:hyperlink r:id="rId37">
        <w:r>
          <w:rPr>
            <w:color w:val="0D6B67"/>
            <w:u w:val="single"/>
            <w:rFonts w:ascii="Noto Sans SC Thin" w:hAnsi="Noto Sans SC Thin" w:eastAsia="Noto Sans SC Thin"/>
            <w:sz w:val="21"/>
            <w:szCs w:val="21"/>
          </w:rPr>
          <w:t>[48] OpenCode</w:t>
        </w:r>
      </w:hyperlink>
    </w:p>
    <w:p>
      <w:pPr>
        <w:spacing w:before="0" w:after="80" w:line="252" w:lineRule="auto"/>
      </w:pPr>
      <w:hyperlink r:id="rId38">
        <w:r>
          <w:rPr>
            <w:color w:val="0D6B67"/>
            <w:u w:val="single"/>
            <w:rFonts w:ascii="Noto Sans SC Thin" w:hAnsi="Noto Sans SC Thin" w:eastAsia="Noto Sans SC Thin"/>
            <w:sz w:val="21"/>
            <w:szCs w:val="21"/>
          </w:rPr>
          <w:t>[49] Gemini CLI</w:t>
        </w:r>
      </w:hyperlink>
    </w:p>
    <w:p>
      <w:pPr>
        <w:spacing w:before="0" w:after="80" w:line="252" w:lineRule="auto"/>
      </w:pPr>
      <w:hyperlink r:id="rId39">
        <w:r>
          <w:rPr>
            <w:color w:val="0D6B67"/>
            <w:u w:val="single"/>
            <w:rFonts w:ascii="Noto Sans SC Thin" w:hAnsi="Noto Sans SC Thin" w:eastAsia="Noto Sans SC Thin"/>
            <w:sz w:val="21"/>
            <w:szCs w:val="21"/>
          </w:rPr>
          <w:t>[50] LiteLLM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SC Thin" w:hAnsi="Noto Sans SC Thin" w:eastAsia="Noto Sans SC Thin"/>
        <w:b w:val="0"/>
        <w:i w:val="0"/>
        <w:color w:val="60717C"/>
        <w:sz w:val="16"/>
      </w:rPr>
      <w:t xml:space="preserve">v0.2 · 2026-07-22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SC Thin" w:hAnsi="Noto Sans SC Thin" w:eastAsia="Noto Sans SC Thin"/>
        <w:b/>
        <w:i w:val="0"/>
        <w:color w:val="60717C"/>
        <w:sz w:val="16"/>
      </w:rPr>
      <w:t>百工 BAIGONG｜多人多 Agent 联邦协作系统调研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Noto Sans SC Thin" w:hAnsi="Noto Sans SC Thin" w:eastAsia="Noto Sans SC Thin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SC Thin" w:hAnsi="Noto Sans SC Thin" w:eastAsia="Noto Sans SC Thin"/>
      <w:b/>
      <w:bCs/>
      <w:color w:val="183B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Noto Sans SC Thin" w:hAnsi="Noto Sans SC Thin" w:eastAsia="Noto Sans SC Thin"/>
      <w:b/>
      <w:bCs/>
      <w:color w:val="0D6B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SC Thin" w:hAnsi="Noto Sans SC Thin" w:eastAsia="Noto Sans SC Thin"/>
      <w:b/>
      <w:bCs/>
      <w:color w:val="1F7A5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SC Thin" w:hAnsi="Noto Sans SC Thin" w:eastAsia="Noto Sans SC Thin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SC Thin" w:hAnsi="Noto Sans SC Thin" w:eastAsia="Noto Sans SC Thin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SC Thin" w:hAnsi="Noto Sans SC Thin" w:eastAsia="Noto Sans SC Thin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github.com/openagents-org/openagents" TargetMode="External"/><Relationship Id="rId14" Type="http://schemas.openxmlformats.org/officeDocument/2006/relationships/hyperlink" Target="https://github.com/ruvnet/ruflo" TargetMode="External"/><Relationship Id="rId15" Type="http://schemas.openxmlformats.org/officeDocument/2006/relationships/hyperlink" Target="https://github.com/gastownhall/gastown" TargetMode="External"/><Relationship Id="rId16" Type="http://schemas.openxmlformats.org/officeDocument/2006/relationships/hyperlink" Target="https://github.com/microsoft/agent-framework" TargetMode="External"/><Relationship Id="rId17" Type="http://schemas.openxmlformats.org/officeDocument/2006/relationships/hyperlink" Target="https://github.com/langchain-ai/langgraph" TargetMode="External"/><Relationship Id="rId18" Type="http://schemas.openxmlformats.org/officeDocument/2006/relationships/hyperlink" Target="https://github.com/crewAIInc/crewAI" TargetMode="External"/><Relationship Id="rId19" Type="http://schemas.openxmlformats.org/officeDocument/2006/relationships/hyperlink" Target="https://github.com/agentscope-ai/agentscope-runtime" TargetMode="External"/><Relationship Id="rId20" Type="http://schemas.openxmlformats.org/officeDocument/2006/relationships/hyperlink" Target="https://github.com/a2aproject/A2A" TargetMode="External"/><Relationship Id="rId21" Type="http://schemas.openxmlformats.org/officeDocument/2006/relationships/hyperlink" Target="https://github.com/a2aproject/a2a-python" TargetMode="External"/><Relationship Id="rId22" Type="http://schemas.openxmlformats.org/officeDocument/2006/relationships/hyperlink" Target="https://github.com/modelcontextprotocol/modelcontextprotocol" TargetMode="External"/><Relationship Id="rId23" Type="http://schemas.openxmlformats.org/officeDocument/2006/relationships/hyperlink" Target="https://github.com/modelcontextprotocol/python-sdk" TargetMode="External"/><Relationship Id="rId24" Type="http://schemas.openxmlformats.org/officeDocument/2006/relationships/hyperlink" Target="https://github.com/agentskills/agentskills" TargetMode="External"/><Relationship Id="rId25" Type="http://schemas.openxmlformats.org/officeDocument/2006/relationships/hyperlink" Target="https://github.com/anthropics/skills" TargetMode="External"/><Relationship Id="rId26" Type="http://schemas.openxmlformats.org/officeDocument/2006/relationships/hyperlink" Target="https://github.com/temporalio/temporal" TargetMode="External"/><Relationship Id="rId27" Type="http://schemas.openxmlformats.org/officeDocument/2006/relationships/hyperlink" Target="https://github.com/keycloak/keycloak" TargetMode="External"/><Relationship Id="rId28" Type="http://schemas.openxmlformats.org/officeDocument/2006/relationships/hyperlink" Target="https://github.com/openfga/openfga" TargetMode="External"/><Relationship Id="rId29" Type="http://schemas.openxmlformats.org/officeDocument/2006/relationships/hyperlink" Target="https://github.com/open-policy-agent/opa" TargetMode="External"/><Relationship Id="rId30" Type="http://schemas.openxmlformats.org/officeDocument/2006/relationships/hyperlink" Target="https://github.com/nats-io/nats-server" TargetMode="External"/><Relationship Id="rId31" Type="http://schemas.openxmlformats.org/officeDocument/2006/relationships/hyperlink" Target="https://github.com/postgres/postgres" TargetMode="External"/><Relationship Id="rId32" Type="http://schemas.openxmlformats.org/officeDocument/2006/relationships/hyperlink" Target="https://github.com/open-telemetry/opentelemetry-specification" TargetMode="External"/><Relationship Id="rId33" Type="http://schemas.openxmlformats.org/officeDocument/2006/relationships/hyperlink" Target="https://github.com/langfuse/langfuse" TargetMode="External"/><Relationship Id="rId34" Type="http://schemas.openxmlformats.org/officeDocument/2006/relationships/hyperlink" Target="https://github.com/promptfoo/promptfoo" TargetMode="External"/><Relationship Id="rId35" Type="http://schemas.openxmlformats.org/officeDocument/2006/relationships/hyperlink" Target="https://github.com/swe-bench/SWE-bench" TargetMode="External"/><Relationship Id="rId36" Type="http://schemas.openxmlformats.org/officeDocument/2006/relationships/hyperlink" Target="https://github.com/openai/codex" TargetMode="External"/><Relationship Id="rId37" Type="http://schemas.openxmlformats.org/officeDocument/2006/relationships/hyperlink" Target="https://github.com/sst/opencode" TargetMode="External"/><Relationship Id="rId38" Type="http://schemas.openxmlformats.org/officeDocument/2006/relationships/hyperlink" Target="https://github.com/google-gemini/gemini-cli" TargetMode="External"/><Relationship Id="rId39" Type="http://schemas.openxmlformats.org/officeDocument/2006/relationships/hyperlink" Target="https://github.com/BerriAI/litellm" TargetMode="External"/><Relationship Id="rId40" Type="http://schemas.openxmlformats.org/officeDocument/2006/relationships/hyperlink" Target="https://openagents.org/docs/en/getting-started/overview" TargetMode="External"/><Relationship Id="rId41" Type="http://schemas.openxmlformats.org/officeDocument/2006/relationships/hyperlink" Target="https://github.com/gastownhall/gastown/blob/main/docs/agent-provider-integration.md" TargetMode="External"/><Relationship Id="rId42" Type="http://schemas.openxmlformats.org/officeDocument/2006/relationships/hyperlink" Target="https://openai.com/index/introducing-workspace-agents-in-chatgpt/" TargetMode="External"/><Relationship Id="rId43" Type="http://schemas.openxmlformats.org/officeDocument/2006/relationships/hyperlink" Target="https://learn.microsoft.com/en-us/microsoft-copilot-studio/authoring-add-other-agents" TargetMode="External"/><Relationship Id="rId44" Type="http://schemas.openxmlformats.org/officeDocument/2006/relationships/hyperlink" Target="https://cloud.google.com/blog/products/ai-machine-learning/introducing-gemini-enterprise-agent-platform" TargetMode="External"/><Relationship Id="rId45" Type="http://schemas.openxmlformats.org/officeDocument/2006/relationships/hyperlink" Target="https://www.salesforce.com/news/stories/agent-fabric-control-plane-announcement/" TargetMode="External"/><Relationship Id="rId46" Type="http://schemas.openxmlformats.org/officeDocument/2006/relationships/hyperlink" Target="https://a2a-protocol.org/latest/specification/" TargetMode="External"/><Relationship Id="rId47" Type="http://schemas.openxmlformats.org/officeDocument/2006/relationships/hyperlink" Target="https://modelcontextprotocol.io/docs/learn/architecture" TargetMode="External"/><Relationship Id="rId48" Type="http://schemas.openxmlformats.org/officeDocument/2006/relationships/hyperlink" Target="https://arxiv.org/abs/2308.08155" TargetMode="External"/><Relationship Id="rId49" Type="http://schemas.openxmlformats.org/officeDocument/2006/relationships/hyperlink" Target="https://arxiv.org/abs/2402.14034" TargetMode="External"/><Relationship Id="rId50" Type="http://schemas.openxmlformats.org/officeDocument/2006/relationships/hyperlink" Target="https://arxiv.org/abs/2509.20175" TargetMode="External"/><Relationship Id="rId51" Type="http://schemas.openxmlformats.org/officeDocument/2006/relationships/hyperlink" Target="https://arxiv.org/abs/2606.03143" TargetMode="External"/><Relationship Id="rId52" Type="http://schemas.openxmlformats.org/officeDocument/2006/relationships/hyperlink" Target="https://arxiv.org/abs/2308.00352" TargetMode="External"/><Relationship Id="rId53" Type="http://schemas.openxmlformats.org/officeDocument/2006/relationships/hyperlink" Target="https://arxiv.org/abs/2503.01935" TargetMode="External"/><Relationship Id="rId54" Type="http://schemas.openxmlformats.org/officeDocument/2006/relationships/hyperlink" Target="https://arxiv.org/abs/2504.00587" TargetMode="External"/><Relationship Id="rId55" Type="http://schemas.openxmlformats.org/officeDocument/2006/relationships/hyperlink" Target="https://arxiv.org/abs/2505.00753" TargetMode="External"/><Relationship Id="rId56" Type="http://schemas.openxmlformats.org/officeDocument/2006/relationships/hyperlink" Target="https://arxiv.org/abs/2601.13295" TargetMode="External"/><Relationship Id="rId57" Type="http://schemas.openxmlformats.org/officeDocument/2006/relationships/hyperlink" Target="https://ctext.org/rites-of-zhou/dong-guan-kao-gong-ji/zhs" TargetMode="External"/><Relationship Id="rId58" Type="http://schemas.openxmlformats.org/officeDocument/2006/relationships/hyperlink" Target="https://paper.people.com.cn/fcyym/html/2023-11/10/content_26028390.htm" TargetMode="External"/><Relationship Id="rId59" Type="http://schemas.openxmlformats.org/officeDocument/2006/relationships/hyperlink" Target="https://www.nopss.gov.cn/BIG5/n1/2023/0227/c219544-32632034.html" TargetMode="External"/><Relationship Id="rId60" Type="http://schemas.openxmlformats.org/officeDocument/2006/relationships/hyperlink" Target="https://www.servicenow.com/platform/action-fabric.html" TargetMode="External"/><Relationship Id="rId61" Type="http://schemas.openxmlformats.org/officeDocument/2006/relationships/hyperlink" Target="https://arxiv.org/abs/2605.08761" TargetMode="External"/><Relationship Id="rId62" Type="http://schemas.openxmlformats.org/officeDocument/2006/relationships/hyperlink" Target="https://github.com/modelcontextprotocol/serv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百工 BAIGONG：多人多 Agent 联邦协作系统调研报告</dc:title>
  <dc:subject>产品、开源生态与技术论文调研及设计</dc:subject>
  <dc:creator>OpenAI</dc:creator>
  <cp:keywords>BAIGONG, 百工, Multi-Owner Multi-Agent System, Agent Federation, Skill Evolution</cp:keywords>
  <dc:description>Version 0.2; research current to 2026-07-22.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