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40"/>
      </w:pPr>
      <w:r>
        <w:drawing>
          <wp:anchor distT="0" distB="0" distL="0" distR="0" simplePos="0" allowOverlap="1" behindDoc="1" locked="0" layoutInCell="1" relativeHeight="1657350">
            <wp:simplePos x="0" y="0"/>
            <wp:positionH relativeFrom="page">
              <wp:align>right</wp:align>
            </wp:positionH>
            <wp:positionV relativeFrom="page">
              <wp:posOffset>360000</wp:posOffset>
            </wp:positionV>
            <wp:extent cx="2857500" cy="165735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1619250" cy="561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240" w:lineRule="auto"/>
      </w:pPr>
      <w:r>
        <w:rPr>
          <w:rFonts w:ascii="Consolas" w:cs="Consolas" w:eastAsia="Consolas" w:hAnsi="Consolas"/>
          <w:b w:val="false"/>
          <w:bCs w:val="false"/>
          <w:caps/>
          <w:color w:val="231F20"/>
          <w:spacing w:val="30"/>
          <w:sz w:val="20"/>
          <w:szCs w:val="20"/>
        </w:rPr>
        <w:t xml:space="preserve">Proposal</w:t>
      </w:r>
    </w:p>
    <w:p>
      <w:pPr>
        <w:spacing w:after="320" w:before="0" w:line="252" w:lineRule="auto"/>
      </w:pPr>
      <w:r>
        <w:rPr>
          <w:rFonts w:ascii="Montserrat" w:cs="Montserrat" w:eastAsia="Montserrat" w:hAnsi="Montserrat"/>
          <w:b/>
          <w:bCs/>
          <w:caps w:val="false"/>
          <w:color w:val="231F20"/>
          <w:sz w:val="64"/>
          <w:szCs w:val="64"/>
        </w:rPr>
        <w:t xml:space="preserve">Agent Console UX Redesign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FFD700" w:color="auto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tbl>
            <w:tblPr>
              <w:tblW w:type="pct" w:w="100%"/>
              <w:tblBorders>
                <w:top w:val="none" w:color="auto" w:sz="0"/>
                <w:left w:val="none" w:color="auto" w:sz="0"/>
                <w:bottom w:val="none" w:color="auto" w:sz="0"/>
                <w:right w:val="none" w:color="auto" w:sz="0"/>
                <w:insideH w:val="none" w:color="auto" w:sz="0"/>
                <w:insideV w:val="none" w:color="auto" w:sz="0"/>
              </w:tblBorders>
            </w:tblPr>
            <w:tblGrid>
              <w:gridCol w:w="9000"/>
            </w:tblGrid>
            <w:tr>
              <w:tc>
                <w:tcPr>
                  <w:tcW w:type="dxa" w:w="9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70"/>
                    <w:left w:type="dxa" w:w="180"/>
                    <w:bottom w:type="dxa" w:w="70"/>
                    <w:right w:type="dxa" w:w="180"/>
                  </w:tcMar>
                </w:tcPr>
                <w:p>
                  <w:pPr>
                    <w:spacing w:after="0" w:line="268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aps/>
                      <w:color w:val="002B5C"/>
                      <w:spacing w:val="20"/>
                      <w:sz w:val="18"/>
                      <w:szCs w:val="18"/>
                    </w:rPr>
                    <w:t xml:space="preserve">Client   </w:t>
                  </w:r>
                  <w:r>
                    <w:rPr>
                      <w:rFonts w:ascii="Montserrat Medium" w:cs="Montserrat Medium" w:eastAsia="Montserrat Medium" w:hAnsi="Montserrat Medium"/>
                      <w:b w:val="false"/>
                      <w:bCs w:val="false"/>
                      <w:caps w:val="false"/>
                      <w:color w:val="002B5C"/>
                      <w:sz w:val="22"/>
                      <w:szCs w:val="22"/>
                    </w:rPr>
                    <w:t xml:space="preserve">Nimbus AI — Product &amp; Platform</w:t>
                  </w:r>
                </w:p>
              </w:tc>
            </w:tr>
            <w:tr>
              <w:tc>
                <w:tcPr>
                  <w:tcW w:type="dxa" w:w="9000"/>
                  <w:tcBorders>
                    <w:top w:val="none" w:color="auto" w:sz="0"/>
                    <w:left w:val="none" w:color="auto" w:sz="0"/>
                    <w:bottom w:val="none" w:color="auto" w:sz="0"/>
                    <w:right w:val="none" w:color="auto" w:sz="0"/>
                  </w:tcBorders>
                  <w:tcMar>
                    <w:top w:type="dxa" w:w="70"/>
                    <w:left w:type="dxa" w:w="180"/>
                    <w:bottom w:type="dxa" w:w="70"/>
                    <w:right w:type="dxa" w:w="180"/>
                  </w:tcMar>
                </w:tcPr>
                <w:p>
                  <w:pPr>
                    <w:spacing w:after="0" w:line="268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caps/>
                      <w:color w:val="002B5C"/>
                      <w:spacing w:val="20"/>
                      <w:sz w:val="18"/>
                      <w:szCs w:val="18"/>
                    </w:rPr>
                    <w:t xml:space="preserve">Project   </w:t>
                  </w:r>
                  <w:r>
                    <w:rPr>
                      <w:rFonts w:ascii="Montserrat Medium" w:cs="Montserrat Medium" w:eastAsia="Montserrat Medium" w:hAnsi="Montserrat Medium"/>
                      <w:b w:val="false"/>
                      <w:bCs w:val="false"/>
                      <w:caps w:val="false"/>
                      <w:color w:val="002B5C"/>
                      <w:sz w:val="22"/>
                      <w:szCs w:val="22"/>
                    </w:rPr>
                    <w:t xml:space="preserve">Agent Operator Console</w:t>
                  </w:r>
                </w:p>
              </w:tc>
            </w:tr>
          </w:tbl>
          <w:p/>
        </w:tc>
      </w:tr>
    </w:tbl>
    <w:p>
      <w:pPr>
        <w:spacing w:after="40" w:before="400" w:line="240" w:lineRule="auto"/>
      </w:pPr>
      <w:r>
        <w:rPr>
          <w:rFonts w:ascii="Consolas" w:cs="Consolas" w:eastAsia="Consolas" w:hAnsi="Consolas"/>
          <w:b w:val="false"/>
          <w:bCs w:val="false"/>
          <w:caps/>
          <w:color w:val="B7B7B7"/>
          <w:spacing w:val="24"/>
          <w:sz w:val="18"/>
          <w:szCs w:val="18"/>
        </w:rPr>
        <w:t xml:space="preserve">Purpose</w:t>
      </w:r>
    </w:p>
    <w:p>
      <w:pPr>
        <w:spacing w:after="0" w:before="0" w:line="320" w:lineRule="auto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3"/>
          <w:szCs w:val="23"/>
        </w:rPr>
        <w:t xml:space="preserve">Cut time-to-first-successful-run for new operators by redesigning the console around the tasks they actually perform.</w:t>
      </w:r>
    </w:p>
    <w:p>
      <w:pPr>
        <w:spacing w:after="0" w:before="440" w:line="260" w:lineRule="auto"/>
      </w:pPr>
      <w:r>
        <w:rPr>
          <w:rFonts w:ascii="Consolas" w:cs="Consolas" w:eastAsia="Consolas" w:hAnsi="Consolas"/>
          <w:b w:val="false"/>
          <w:bCs w:val="false"/>
          <w:caps w:val="false"/>
          <w:color w:val="666666"/>
          <w:sz w:val="18"/>
          <w:szCs w:val="18"/>
        </w:rPr>
        <w:t xml:space="preserve">Prepared by Intelligaia   ·   12 August 2026   ·   IG-PRO-0207   ·   Confidential</w:t>
      </w:r>
    </w:p>
    <w:p>
      <w:r>
        <w:br w:type="page"/>
      </w:r>
    </w:p>
    <w:p>
      <w:pPr>
        <w:keepNext/>
        <w:spacing w:after="200" w:before="160" w:line="274" w:lineRule="auto"/>
      </w:pPr>
      <w:r>
        <w:rPr>
          <w:rFonts w:ascii="Montserrat" w:cs="Montserrat" w:eastAsia="Montserrat" w:hAnsi="Montserrat"/>
          <w:b/>
          <w:bCs/>
          <w:caps w:val="false"/>
          <w:color w:val="231F20"/>
          <w:sz w:val="36"/>
          <w:szCs w:val="36"/>
        </w:rPr>
        <w:t xml:space="preserve">Contents</w:t>
      </w:r>
    </w:p>
    <w:p>
      <w:pPr>
        <w:tabs>
          <w:tab w:val="right" w:pos="9360" w:leader="dot"/>
        </w:tabs>
        <w:spacing w:after="120" w:line="300" w:lineRule="auto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history="1" w:anchor="_Toc00001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231F20"/>
            <w:sz w:val="21"/>
            <w:szCs w:val="21"/>
          </w:rPr>
          <w:t xml:space="preserve">The problem</w:t>
        </w:r>
      </w:hyperlink>
      <w:r>
        <w:tab/>
      </w:r>
      <w:hyperlink w:history="1" w:anchor="_Toc00001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666666"/>
            <w:sz w:val="19"/>
            <w:szCs w:val="19"/>
          </w:rPr>
          <w:t xml:space="preserve">3</w:t>
        </w:r>
      </w:hyperlink>
    </w:p>
    <w:p>
      <w:pPr>
        <w:tabs>
          <w:tab w:val="right" w:pos="9360" w:leader="dot"/>
        </w:tabs>
        <w:spacing w:after="120" w:line="300" w:lineRule="auto"/>
      </w:pPr>
      <w:hyperlink w:history="1" w:anchor="_Toc00002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231F20"/>
            <w:sz w:val="21"/>
            <w:szCs w:val="21"/>
          </w:rPr>
          <w:t xml:space="preserve">Our approach</w:t>
        </w:r>
      </w:hyperlink>
      <w:r>
        <w:tab/>
      </w:r>
      <w:hyperlink w:history="1" w:anchor="_Toc00002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666666"/>
            <w:sz w:val="19"/>
            <w:szCs w:val="19"/>
          </w:rPr>
          <w:t xml:space="preserve">3</w:t>
        </w:r>
      </w:hyperlink>
    </w:p>
    <w:p>
      <w:pPr>
        <w:tabs>
          <w:tab w:val="right" w:pos="9360" w:leader="dot"/>
        </w:tabs>
        <w:spacing w:after="120" w:line="300" w:lineRule="auto"/>
      </w:pPr>
      <w:hyperlink w:history="1" w:anchor="_Toc00003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231F20"/>
            <w:sz w:val="21"/>
            <w:szCs w:val="21"/>
          </w:rPr>
          <w:t xml:space="preserve">Scope</w:t>
        </w:r>
      </w:hyperlink>
      <w:r>
        <w:tab/>
      </w:r>
      <w:hyperlink w:history="1" w:anchor="_Toc00003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666666"/>
            <w:sz w:val="19"/>
            <w:szCs w:val="19"/>
          </w:rPr>
          <w:t xml:space="preserve">3</w:t>
        </w:r>
      </w:hyperlink>
    </w:p>
    <w:p>
      <w:pPr>
        <w:tabs>
          <w:tab w:val="right" w:pos="9360" w:leader="dot"/>
        </w:tabs>
        <w:spacing w:after="120" w:line="300" w:lineRule="auto"/>
      </w:pPr>
      <w:hyperlink w:history="1" w:anchor="_Toc00004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231F20"/>
            <w:sz w:val="21"/>
            <w:szCs w:val="21"/>
          </w:rPr>
          <w:t xml:space="preserve">Timeline</w:t>
        </w:r>
      </w:hyperlink>
      <w:r>
        <w:tab/>
      </w:r>
      <w:hyperlink w:history="1" w:anchor="_Toc00004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666666"/>
            <w:sz w:val="19"/>
            <w:szCs w:val="19"/>
          </w:rPr>
          <w:t xml:space="preserve">3</w:t>
        </w:r>
      </w:hyperlink>
    </w:p>
    <w:p>
      <w:pPr>
        <w:tabs>
          <w:tab w:val="right" w:pos="9360" w:leader="dot"/>
        </w:tabs>
        <w:spacing w:after="120" w:line="300" w:lineRule="auto"/>
      </w:pPr>
      <w:hyperlink w:history="1" w:anchor="_Toc00005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231F20"/>
            <w:sz w:val="21"/>
            <w:szCs w:val="21"/>
          </w:rPr>
          <w:t xml:space="preserve">Why Intelligaia</w:t>
        </w:r>
      </w:hyperlink>
      <w:r>
        <w:tab/>
      </w:r>
      <w:hyperlink w:history="1" w:anchor="_Toc00005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666666"/>
            <w:sz w:val="19"/>
            <w:szCs w:val="19"/>
          </w:rPr>
          <w:t xml:space="preserve">4</w:t>
        </w:r>
      </w:hyperlink>
    </w:p>
    <w:p>
      <w:pPr>
        <w:tabs>
          <w:tab w:val="right" w:pos="9360" w:leader="dot"/>
        </w:tabs>
        <w:spacing w:after="120" w:line="300" w:lineRule="auto"/>
      </w:pPr>
      <w:hyperlink w:history="1" w:anchor="_Toc00006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231F20"/>
            <w:sz w:val="21"/>
            <w:szCs w:val="21"/>
          </w:rPr>
          <w:t xml:space="preserve">Investment</w:t>
        </w:r>
      </w:hyperlink>
      <w:r>
        <w:tab/>
      </w:r>
      <w:hyperlink w:history="1" w:anchor="_Toc00006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666666"/>
            <w:sz w:val="19"/>
            <w:szCs w:val="19"/>
          </w:rPr>
          <w:t xml:space="preserve">4</w:t>
        </w:r>
      </w:hyperlink>
    </w:p>
    <w:p>
      <w:pPr>
        <w:tabs>
          <w:tab w:val="right" w:pos="9360" w:leader="dot"/>
        </w:tabs>
        <w:spacing w:after="120" w:line="300" w:lineRule="auto"/>
      </w:pPr>
      <w:hyperlink w:history="1" w:anchor="_Toc00007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231F20"/>
            <w:sz w:val="21"/>
            <w:szCs w:val="21"/>
          </w:rPr>
          <w:t xml:space="preserve">Next steps</w:t>
        </w:r>
      </w:hyperlink>
      <w:r>
        <w:tab/>
      </w:r>
      <w:hyperlink w:history="1" w:anchor="_Toc00007">
        <w:r>
          <w:rPr>
            <w:rFonts w:ascii="Montserrat Medium" w:cs="Montserrat Medium" w:eastAsia="Montserrat Medium" w:hAnsi="Montserrat Medium"/>
            <w:b w:val="false"/>
            <w:bCs w:val="false"/>
            <w:caps w:val="false"/>
            <w:color w:val="666666"/>
            <w:sz w:val="19"/>
            <w:szCs w:val="19"/>
          </w:rPr>
          <w:t xml:space="preserve">4</w:t>
        </w:r>
      </w:hyperlink>
      <w:r>
        <w:fldChar w:fldCharType="end"/>
      </w:r>
    </w:p>
    <w:p>
      <w:r>
        <w:br w:type="page"/>
      </w:r>
    </w:p>
    <w:p>
      <w:pPr>
        <w:pStyle w:val="Heading1"/>
        <w:keepNext/>
        <w:spacing w:after="120" w:before="380" w:line="274" w:lineRule="auto"/>
      </w:pPr>
      <w:bookmarkStart w:name="_Toc00001" w:id="1"/>
      <w:r>
        <w:rPr>
          <w:rFonts w:ascii="Montserrat" w:cs="Montserrat" w:eastAsia="Montserrat" w:hAnsi="Montserrat"/>
          <w:b/>
          <w:bCs/>
          <w:caps w:val="false"/>
          <w:color w:val="231F20"/>
          <w:sz w:val="36"/>
          <w:szCs w:val="36"/>
        </w:rPr>
        <w:t xml:space="preserve">The problem</w:t>
      </w:r>
      <w:bookmarkEnd w:id="1"/>
    </w:p>
    <w:p>
      <w:pPr>
        <w:spacing w:after="160" w:before="0" w:line="334" w:lineRule="auto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New operators reach a working agent run slowly. The console exposes the full API surface up front, so the first session is spent decoding concepts — runs, tools, traces, evals — before any value appears. Your own funnel shows the drop-off between signup and first successful run. </w:t>
      </w:r>
      <w:r>
        <w:rPr>
          <w:rFonts w:ascii="Montserrat" w:cs="Montserrat" w:eastAsia="Montserrat" w:hAnsi="Montserrat"/>
          <w:b/>
          <w:bCs/>
          <w:caps w:val="false"/>
          <w:color w:val="002B5C"/>
          <w:sz w:val="21"/>
          <w:szCs w:val="21"/>
        </w:rPr>
        <w:t xml:space="preserve">The interface is organised around the platform's architecture, not the operator's task.</w:t>
      </w:r>
    </w:p>
    <w:p>
      <w:pPr>
        <w:pStyle w:val="Heading1"/>
        <w:keepNext/>
        <w:spacing w:after="120" w:before="380" w:line="274" w:lineRule="auto"/>
      </w:pPr>
      <w:bookmarkStart w:name="_Toc00002" w:id="2"/>
      <w:r>
        <w:rPr>
          <w:rFonts w:ascii="Montserrat" w:cs="Montserrat" w:eastAsia="Montserrat" w:hAnsi="Montserrat"/>
          <w:b/>
          <w:bCs/>
          <w:caps w:val="false"/>
          <w:color w:val="231F20"/>
          <w:sz w:val="36"/>
          <w:szCs w:val="36"/>
        </w:rPr>
        <w:t xml:space="preserve">Our approach</w:t>
      </w:r>
      <w:bookmarkEnd w:id="2"/>
    </w:p>
    <w:p>
      <w:pPr>
        <w:spacing w:after="160" w:before="0" w:line="334" w:lineRule="auto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We redesign the console around a small number of operator jobs — launch a run, inspect a trace, fix a failing eval — and let the API surface recede until it is needed. The design system stays the source of truth; every screen is built from tokens and documented states, including the ones teams usually skip: empty, loading, partial, and error.</w:t>
      </w:r>
    </w:p>
    <w:p>
      <w:pPr>
        <w:spacing w:after="80" w:before="0" w:line="334" w:lineRule="auto"/>
        <w:ind w:left="431" w:hanging="288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Task-first information architecture, validated with your operators before any high-fidelity design.</w:t>
      </w:r>
    </w:p>
    <w:p>
      <w:pPr>
        <w:spacing w:after="80" w:before="0" w:line="334" w:lineRule="auto"/>
        <w:ind w:left="431" w:hanging="288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A state-complete component set — empty, loading, error, first-run, and power-user for every core view.</w:t>
      </w:r>
    </w:p>
    <w:p>
      <w:pPr>
        <w:spacing w:after="80" w:before="0" w:line="334" w:lineRule="auto"/>
        <w:ind w:left="431" w:hanging="288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Accessibility to WCAG 2.1 AA as a build requirement, not a later audit.</w:t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shd w:fill="FFD700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0" w:before="0" w:line="336" w:lineRule="auto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002B5C"/>
                <w:sz w:val="23"/>
                <w:szCs w:val="23"/>
              </w:rPr>
              <w:t xml:space="preserve">First successful run becomes a guided path, not a scavenger hunt.</w:t>
            </w:r>
          </w:p>
        </w:tc>
      </w:tr>
    </w:tbl>
    <w:p>
      <w:pPr>
        <w:pStyle w:val="Heading1"/>
        <w:keepNext/>
        <w:spacing w:after="120" w:before="380" w:line="274" w:lineRule="auto"/>
      </w:pPr>
      <w:bookmarkStart w:name="_Toc00003" w:id="3"/>
      <w:r>
        <w:rPr>
          <w:rFonts w:ascii="Montserrat" w:cs="Montserrat" w:eastAsia="Montserrat" w:hAnsi="Montserrat"/>
          <w:b/>
          <w:bCs/>
          <w:caps w:val="false"/>
          <w:color w:val="231F20"/>
          <w:sz w:val="36"/>
          <w:szCs w:val="36"/>
        </w:rPr>
        <w:t xml:space="preserve">Scope</w:t>
      </w:r>
      <w:bookmarkEnd w:id="3"/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800"/>
        <w:gridCol w:w="6560"/>
      </w:tblGrid>
      <w:tr>
        <w:tc>
          <w:tcPr>
            <w:tcW w:type="dxa" w:w="2800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aps w:val="false"/>
                <w:color w:val="231F20"/>
                <w:sz w:val="19"/>
                <w:szCs w:val="19"/>
              </w:rPr>
              <w:t xml:space="preserve">Discovery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36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0"/>
                <w:szCs w:val="20"/>
              </w:rPr>
              <w:t xml:space="preserve">Operator interviews, task analysis, current-console audit</w:t>
            </w:r>
          </w:p>
        </w:tc>
      </w:tr>
      <w:tr>
        <w:tc>
          <w:tcPr>
            <w:tcW w:type="dxa" w:w="2800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aps w:val="false"/>
                <w:color w:val="231F20"/>
                <w:sz w:val="19"/>
                <w:szCs w:val="19"/>
              </w:rPr>
              <w:t xml:space="preserve">IA &amp; flows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36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0"/>
                <w:szCs w:val="20"/>
              </w:rPr>
              <w:t xml:space="preserve">Task-first navigation model, first-run path, key flows</w:t>
            </w:r>
          </w:p>
        </w:tc>
      </w:tr>
      <w:tr>
        <w:tc>
          <w:tcPr>
            <w:tcW w:type="dxa" w:w="2800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aps w:val="false"/>
                <w:color w:val="231F20"/>
                <w:sz w:val="19"/>
                <w:szCs w:val="19"/>
              </w:rPr>
              <w:t xml:space="preserve">UI system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36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0"/>
                <w:szCs w:val="20"/>
              </w:rPr>
              <w:t xml:space="preserve">Console screens on your design system, state-complete</w:t>
            </w:r>
          </w:p>
        </w:tc>
      </w:tr>
      <w:tr>
        <w:tc>
          <w:tcPr>
            <w:tcW w:type="dxa" w:w="2800"/>
            <w:shd w:fill="FAFAF8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88" w:lineRule="auto"/>
            </w:pPr>
            <w:r>
              <w:rPr>
                <w:rFonts w:ascii="Consolas" w:cs="Consolas" w:eastAsia="Consolas" w:hAnsi="Consolas"/>
                <w:b w:val="false"/>
                <w:bCs w:val="false"/>
                <w:caps w:val="false"/>
                <w:color w:val="231F20"/>
                <w:sz w:val="19"/>
                <w:szCs w:val="19"/>
              </w:rPr>
              <w:t xml:space="preserve">Handoff</w:t>
            </w:r>
          </w:p>
        </w:tc>
        <w:tc>
          <w:tcPr>
            <w:tcW w:type="dxa" w:w="656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36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0"/>
                <w:szCs w:val="20"/>
              </w:rPr>
              <w:t xml:space="preserve">Figma (auto-layout, variables), documented states, a11y notes</w:t>
            </w:r>
          </w:p>
        </w:tc>
      </w:tr>
    </w:tbl>
    <w:p>
      <w:pPr>
        <w:pStyle w:val="Heading1"/>
        <w:keepNext/>
        <w:spacing w:after="120" w:before="380" w:line="274" w:lineRule="auto"/>
      </w:pPr>
      <w:bookmarkStart w:name="_Toc00004" w:id="4"/>
      <w:r>
        <w:rPr>
          <w:rFonts w:ascii="Montserrat" w:cs="Montserrat" w:eastAsia="Montserrat" w:hAnsi="Montserrat"/>
          <w:b/>
          <w:bCs/>
          <w:caps w:val="false"/>
          <w:color w:val="231F20"/>
          <w:sz w:val="36"/>
          <w:szCs w:val="36"/>
        </w:rPr>
        <w:t xml:space="preserve">Timeline</w:t>
      </w:r>
      <w:bookmarkEnd w:id="4"/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02B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3120"/>
            <w:shd w:fill="002B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3120"/>
            <w:shd w:fill="002B5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264" w:lineRule="auto"/>
            </w:pPr>
            <w:r>
              <w:rPr>
                <w:rFonts w:ascii="Montserrat" w:cs="Montserrat" w:eastAsia="Montserrat" w:hAnsi="Montserrat"/>
                <w:b/>
                <w:bCs/>
                <w:caps w:val="false"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1"/>
                <w:szCs w:val="21"/>
              </w:rPr>
              <w:t xml:space="preserve">Discovery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1"/>
                <w:szCs w:val="21"/>
              </w:rPr>
              <w:t xml:space="preserve">1–2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1"/>
                <w:szCs w:val="21"/>
              </w:rPr>
              <w:t xml:space="preserve">Task map, audit findings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1"/>
                <w:szCs w:val="21"/>
              </w:rPr>
              <w:t xml:space="preserve">IA &amp; flows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1"/>
                <w:szCs w:val="21"/>
              </w:rPr>
              <w:t xml:space="preserve">3–4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1"/>
                <w:szCs w:val="21"/>
              </w:rPr>
              <w:t xml:space="preserve">Navigation model, first-run path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1"/>
                <w:szCs w:val="21"/>
              </w:rPr>
              <w:t xml:space="preserve">UI system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1"/>
                <w:szCs w:val="21"/>
              </w:rPr>
              <w:t xml:space="preserve">5–8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 w:line="300" w:lineRule="auto"/>
            </w:pPr>
            <w:r>
              <w:rPr>
                <w:rFonts w:ascii="Montserrat Medium" w:cs="Montserrat Medium" w:eastAsia="Montserrat Medium" w:hAnsi="Montserrat Medium"/>
                <w:b w:val="false"/>
                <w:bCs w:val="false"/>
                <w:caps w:val="false"/>
                <w:color w:val="002B5C"/>
                <w:sz w:val="21"/>
                <w:szCs w:val="21"/>
              </w:rPr>
              <w:t xml:space="preserve">State-complete console screens + handoff</w:t>
            </w:r>
          </w:p>
        </w:tc>
      </w:tr>
    </w:tbl>
    <w:p>
      <w:pPr>
        <w:pStyle w:val="Heading1"/>
        <w:keepNext/>
        <w:spacing w:after="120" w:before="380" w:line="274" w:lineRule="auto"/>
      </w:pPr>
      <w:bookmarkStart w:name="_Toc00005" w:id="5"/>
      <w:r>
        <w:rPr>
          <w:rFonts w:ascii="Montserrat" w:cs="Montserrat" w:eastAsia="Montserrat" w:hAnsi="Montserrat"/>
          <w:b/>
          <w:bCs/>
          <w:caps w:val="false"/>
          <w:color w:val="231F20"/>
          <w:sz w:val="36"/>
          <w:szCs w:val="36"/>
        </w:rPr>
        <w:t xml:space="preserve">Why Intelligaia</w:t>
      </w:r>
      <w:bookmarkEnd w:id="5"/>
    </w:p>
    <w:p>
      <w:pPr>
        <w:spacing w:after="80" w:before="0" w:line="334" w:lineRule="auto"/>
        <w:ind w:left="431" w:hanging="288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Enterprise, data-dense product design is the core practice — not a side offering.</w:t>
      </w:r>
    </w:p>
    <w:p>
      <w:pPr>
        <w:spacing w:after="80" w:before="0" w:line="334" w:lineRule="auto"/>
        <w:ind w:left="431" w:hanging="288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System-first delivery: output maps to your components, so it survives past the engagement.</w:t>
      </w:r>
    </w:p>
    <w:p>
      <w:pPr>
        <w:spacing w:after="80" w:before="0" w:line="334" w:lineRule="auto"/>
        <w:ind w:left="431" w:hanging="288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Accessibility and edge-case rigor are built into how we work, not bolted on.</w:t>
      </w:r>
    </w:p>
    <w:p>
      <w:pPr>
        <w:pStyle w:val="Heading1"/>
        <w:keepNext/>
        <w:spacing w:after="120" w:before="380" w:line="274" w:lineRule="auto"/>
      </w:pPr>
      <w:bookmarkStart w:name="_Toc00006" w:id="6"/>
      <w:r>
        <w:rPr>
          <w:rFonts w:ascii="Montserrat" w:cs="Montserrat" w:eastAsia="Montserrat" w:hAnsi="Montserrat"/>
          <w:b/>
          <w:bCs/>
          <w:caps w:val="false"/>
          <w:color w:val="231F20"/>
          <w:sz w:val="36"/>
          <w:szCs w:val="36"/>
        </w:rPr>
        <w:t xml:space="preserve">Investment</w:t>
      </w:r>
      <w:bookmarkEnd w:id="6"/>
    </w:p>
    <w:p>
      <w:pPr>
        <w:spacing w:after="160" w:before="0" w:line="334" w:lineRule="auto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[TK: pricing — provide fee basis and payment schedule]</w:t>
      </w:r>
    </w:p>
    <w:p>
      <w:pPr>
        <w:pStyle w:val="Heading1"/>
        <w:keepNext/>
        <w:spacing w:after="120" w:before="380" w:line="274" w:lineRule="auto"/>
      </w:pPr>
      <w:bookmarkStart w:name="_Toc00007" w:id="7"/>
      <w:r>
        <w:rPr>
          <w:rFonts w:ascii="Montserrat" w:cs="Montserrat" w:eastAsia="Montserrat" w:hAnsi="Montserrat"/>
          <w:b/>
          <w:bCs/>
          <w:caps w:val="false"/>
          <w:color w:val="231F20"/>
          <w:sz w:val="36"/>
          <w:szCs w:val="36"/>
        </w:rPr>
        <w:t xml:space="preserve">Next steps</w:t>
      </w:r>
      <w:bookmarkEnd w:id="7"/>
    </w:p>
    <w:p>
      <w:pPr>
        <w:spacing w:after="160" w:before="0" w:line="334" w:lineRule="auto"/>
      </w:pPr>
      <w:r>
        <w:rPr>
          <w:rFonts w:ascii="Montserrat Medium" w:cs="Montserrat Medium" w:eastAsia="Montserrat Medium" w:hAnsi="Montserrat Medium"/>
          <w:b w:val="false"/>
          <w:bCs w:val="false"/>
          <w:caps w:val="false"/>
          <w:color w:val="002B5C"/>
          <w:sz w:val="21"/>
          <w:szCs w:val="21"/>
        </w:rPr>
        <w:t xml:space="preserve">A 45-minute working session to confirm the operator jobs and lock the discovery start date.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6"/>
      </w:pBdr>
      <w:spacing w:before="60"/>
    </w:pPr>
    <w:r>
      <w:rPr>
        <w:rFonts w:ascii="Consolas" w:cs="Consolas" w:eastAsia="Consolas" w:hAnsi="Consolas"/>
        <w:b w:val="false"/>
        <w:bCs w:val="false"/>
        <w:caps w:val="false"/>
        <w:color w:val="666666"/>
        <w:sz w:val="17"/>
        <w:szCs w:val="17"/>
      </w:rPr>
      <w:t xml:space="preserve">Intelligaia · Agent Console UX Redesign · </w:t>
    </w:r>
    <w:r>
      <w:rPr>
        <w:rFonts w:ascii="Consolas" w:cs="Consolas" w:eastAsia="Consolas" w:hAnsi="Consolas"/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04" w:hanging="360"/>
      </w:pPr>
      <w:rPr>
        <w:rFonts w:ascii="Montserrat" w:cs="Montserrat" w:eastAsia="Montserrat" w:hAnsi="Montserrat"/>
        <w:b/>
        <w:bCs/>
        <w:color w:val="002B5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b35de290711b8085d555355cf48d732e83f6990.png"/><Relationship Id="rId9" Type="http://schemas.openxmlformats.org/officeDocument/2006/relationships/image" Target="media/4755aaed689911da53c0ad4088f2a3b1c9b075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Intelligaia Document</dc:title>
  <dc:creator>Intelligaia Doc Generator</dc:creator>
  <cp:lastModifiedBy>Un-named</cp:lastModifiedBy>
  <cp:revision>1</cp:revision>
  <dcterms:created xsi:type="dcterms:W3CDTF">2026-08-13T12:55:02.944Z</dcterms:created>
  <dcterms:modified xsi:type="dcterms:W3CDTF">2026-08-13T12:55:02.944Z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