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b/>
          <w:bCs/>
          <w:color w:val="101112"/>
          <w:sz w:val="56"/>
          <w:szCs w:val="56"/>
        </w:rPr>
        <w:t xml:space="preserve">NUCLEUX</w:t>
      </w:r>
    </w:p>
    <w:p>
      <w:pPr>
        <w:spacing w:after="40"/>
      </w:pPr>
      <w:r>
        <w:rPr>
          <w:color w:val="6B7280"/>
          <w:sz w:val="34"/>
          <w:szCs w:val="34"/>
        </w:rPr>
        <w:t xml:space="preserve">Product Documentation</w:t>
      </w:r>
    </w:p>
    <w:p>
      <w:pPr>
        <w:spacing w:after="600"/>
      </w:pPr>
      <w:r>
        <w:rPr>
          <w:color w:val="D1D5DB"/>
          <w:sz w:val="20"/>
          <w:szCs w:val="20"/>
        </w:rPr>
        <w:t xml:space="preserve">AI UX Pattern Library · Intelligaia · v0.3 · 2026</w:t>
      </w:r>
    </w:p>
    <w:p>
      <w:pPr>
        <w:pBdr>
          <w:bottom w:val="single" w:color="F5C518" w:sz="8"/>
        </w:pBdr>
        <w:spacing w:after="600"/>
      </w:pPr>
    </w:p>
    <w:p>
      <w:pPr>
        <w:spacing w:after="600"/>
      </w:pPr>
      <w:r>
        <w:rPr>
          <w:color w:val="101112"/>
          <w:sz w:val="22"/>
          <w:szCs w:val="22"/>
        </w:rPr>
        <w:t xml:space="preserve"/>
      </w:r>
    </w:p>
    <w:p>
      <w:pPr>
        <w:pStyle w:val="Heading1"/>
        <w:pBdr>
          <w:bottom w:val="single" w:color="F5C518" w:sz="4" w:space="6"/>
        </w:pBdr>
        <w:spacing w:after="160" w:before="400"/>
      </w:pPr>
      <w:r>
        <w:rPr>
          <w:b/>
          <w:bCs/>
          <w:color w:val="101112"/>
          <w:sz w:val="36"/>
          <w:szCs w:val="36"/>
        </w:rPr>
        <w:t xml:space="preserve">Contents</w:t>
      </w:r>
    </w:p>
    <w:p>
      <w:pPr>
        <w:spacing w:after="80"/>
      </w:pPr>
      <w:r>
        <w:rPr>
          <w:color w:val="0F172A"/>
          <w:sz w:val="22"/>
          <w:szCs w:val="22"/>
        </w:rPr>
        <w:t xml:space="preserve">01  Purpose of the Product</w:t>
      </w:r>
    </w:p>
    <w:p>
      <w:pPr>
        <w:spacing w:after="80"/>
      </w:pPr>
      <w:r>
        <w:rPr>
          <w:color w:val="0F172A"/>
          <w:sz w:val="22"/>
          <w:szCs w:val="22"/>
        </w:rPr>
        <w:t xml:space="preserve">02  Business Problem</w:t>
      </w:r>
    </w:p>
    <w:p>
      <w:pPr>
        <w:spacing w:after="80"/>
      </w:pPr>
      <w:r>
        <w:rPr>
          <w:color w:val="0F172A"/>
          <w:sz w:val="22"/>
          <w:szCs w:val="22"/>
        </w:rPr>
        <w:t xml:space="preserve">03  Target Users &amp; Personas</w:t>
      </w:r>
    </w:p>
    <w:p>
      <w:pPr>
        <w:spacing w:after="80"/>
      </w:pPr>
      <w:r>
        <w:rPr>
          <w:color w:val="0F172A"/>
          <w:sz w:val="22"/>
          <w:szCs w:val="22"/>
        </w:rPr>
        <w:t xml:space="preserve">04  Agent Goal</w:t>
      </w:r>
    </w:p>
    <w:p>
      <w:pPr>
        <w:spacing w:after="80"/>
      </w:pPr>
      <w:r>
        <w:rPr>
          <w:color w:val="0F172A"/>
          <w:sz w:val="22"/>
          <w:szCs w:val="22"/>
        </w:rPr>
        <w:t xml:space="preserve">05  Required Capabilities, Tools, Data, Permissions &amp; Human Controls</w:t>
      </w:r>
    </w:p>
    <w:p>
      <w:pPr>
        <w:spacing w:after="80"/>
      </w:pPr>
      <w:r>
        <w:rPr>
          <w:color w:val="0F172A"/>
          <w:sz w:val="22"/>
          <w:szCs w:val="22"/>
        </w:rPr>
        <w:t xml:space="preserve">06  Path A — Manual Implementation</w:t>
      </w:r>
    </w:p>
    <w:p>
      <w:pPr>
        <w:spacing w:after="80"/>
      </w:pPr>
      <w:r>
        <w:rPr>
          <w:color w:val="0F172A"/>
          <w:sz w:val="22"/>
          <w:szCs w:val="22"/>
        </w:rPr>
        <w:t xml:space="preserve">07  Path B — AI-Assisted Implementation via MCP</w:t>
      </w:r>
    </w:p>
    <w:p>
      <w:pPr>
        <w:spacing w:after="400"/>
      </w:pPr>
      <w:r>
        <w:rPr>
          <w:color w:val="101112"/>
          <w:sz w:val="22"/>
          <w:szCs w:val="22"/>
        </w:rPr>
        <w:t xml:space="preserve"/>
      </w:r>
    </w:p>
    <w:p>
      <w:r>
        <w:br w:type="page"/>
      </w:r>
    </w:p>
    <w:p>
      <w:pPr>
        <w:pStyle w:val="Heading1"/>
        <w:pBdr>
          <w:bottom w:val="single" w:color="F5C518" w:sz="4" w:space="6"/>
        </w:pBdr>
        <w:spacing w:after="160" w:before="400"/>
      </w:pPr>
      <w:r>
        <w:rPr>
          <w:b/>
          <w:bCs/>
          <w:color w:val="101112"/>
          <w:sz w:val="36"/>
          <w:szCs w:val="36"/>
        </w:rPr>
        <w:t xml:space="preserve">01  Purpose of the Product</w:t>
      </w:r>
    </w:p>
    <w:p>
      <w:pPr>
        <w:spacing w:after="120"/>
        <w:jc w:val="both"/>
      </w:pPr>
      <w:r>
        <w:rPr>
          <w:color w:val="101112"/>
          <w:sz w:val="22"/>
          <w:szCs w:val="22"/>
        </w:rPr>
        <w:t xml:space="preserve">Nucleux is the shared AI UX pattern library, discovery agent, and sandbox built by Intelligaia for the teams shipping enterprise AI. It provides a common language of UX patterns — 88 patterns across four lifecycle stages — so that agentic products look, behave, and scale consistently across every product surface.</w:t>
      </w:r>
    </w:p>
    <w:p>
      <w:pPr>
        <w:spacing w:after="120"/>
        <w:jc w:val="both"/>
      </w:pPr>
      <w:r>
        <w:rPr>
          <w:color w:val="101112"/>
          <w:sz w:val="22"/>
          <w:szCs w:val="22"/>
        </w:rPr>
        <w:t xml:space="preserve">The library gives AI Platform Leads, Experience Leads, Strategy Leaders, and Enterprise CTOs a single authoritative reference for designing, implementing, and governing agentic user experiences. It bridges the gap between design and engineering by pairing each pattern with documentation, component specifications, code examples, Figma variants, and implementation-ready assets.</w:t>
      </w:r>
    </w:p>
    <w:p>
      <w:pPr>
        <w:spacing w:after="120"/>
        <w:jc w:val="both"/>
      </w:pPr>
      <w:r>
        <w:rPr>
          <w:color w:val="101112"/>
          <w:sz w:val="22"/>
          <w:szCs w:val="22"/>
        </w:rPr>
        <w:t xml:space="preserve">Nucleux ships through two channels: a public pattern library that teams browse and implement manually, and an MCP server that AI development environments — Claude, VS Code, Cursor, and others — can query programmatically. Both channels produce the same output: correct, consistent, trust-compliant agentic UI.</w:t>
      </w:r>
    </w:p>
    <w:p>
      <w:pPr>
        <w:spacing w:after="120"/>
      </w:pPr>
      <w:r>
        <w:rPr>
          <w:color w:val="101112"/>
          <w:sz w:val="22"/>
          <w:szCs w:val="22"/>
        </w:rPr>
        <w:t xml:space="preserve"/>
      </w:r>
    </w:p>
    <w:p>
      <w:pPr>
        <w:pBdr>
          <w:left w:val="single" w:color="F5C518" w:sz="12"/>
        </w:pBdr>
        <w:shd w:fill="FEFCE8" w:val="clear"/>
        <w:spacing w:after="80" w:before="80"/>
        <w:ind w:left="215" w:right="215"/>
      </w:pPr>
      <w:r>
        <w:rPr>
          <w:b/>
          <w:bCs/>
          <w:color w:val="101112"/>
          <w:sz w:val="20"/>
          <w:szCs w:val="20"/>
        </w:rPr>
        <w:t xml:space="preserve">Tagline  </w:t>
      </w:r>
      <w:r>
        <w:rPr>
          <w:color w:val="374151"/>
          <w:sz w:val="20"/>
          <w:szCs w:val="20"/>
        </w:rPr>
        <w:t xml:space="preserve">One pattern library for the teams shipping enterprise AI.</w:t>
      </w:r>
    </w:p>
    <w:p>
      <w:pPr>
        <w:spacing w:after="200"/>
      </w:pPr>
      <w:r>
        <w:rPr>
          <w:color w:val="101112"/>
          <w:sz w:val="22"/>
          <w:szCs w:val="22"/>
        </w:rPr>
        <w:t xml:space="preserve"/>
      </w:r>
    </w:p>
    <w:p>
      <w:pPr>
        <w:pBdr>
          <w:bottom w:val="single" w:color="E2E8F0" w:sz="2"/>
        </w:pBdr>
        <w:spacing w:after="200" w:before="200"/>
      </w:pPr>
    </w:p>
    <w:p>
      <w:pPr>
        <w:pStyle w:val="Heading1"/>
        <w:pBdr>
          <w:bottom w:val="single" w:color="F5C518" w:sz="4" w:space="6"/>
        </w:pBdr>
        <w:spacing w:after="160" w:before="400"/>
      </w:pPr>
      <w:r>
        <w:rPr>
          <w:b/>
          <w:bCs/>
          <w:color w:val="101112"/>
          <w:sz w:val="36"/>
          <w:szCs w:val="36"/>
        </w:rPr>
        <w:t xml:space="preserve">02  Business Problem</w:t>
      </w:r>
    </w:p>
    <w:p>
      <w:pPr>
        <w:spacing w:after="120"/>
        <w:jc w:val="both"/>
      </w:pPr>
      <w:r>
        <w:rPr>
          <w:color w:val="101112"/>
          <w:sz w:val="22"/>
          <w:szCs w:val="22"/>
        </w:rPr>
        <w:t xml:space="preserve">Enterprise organisations building agentic AI products face a consistent set of structural problems that compound as the number of product teams and AI surfaces grows.</w:t>
      </w:r>
    </w:p>
    <w:p>
      <w:pPr>
        <w:pStyle w:val="Heading3"/>
        <w:spacing w:after="80" w:before="280"/>
      </w:pPr>
      <w:r>
        <w:rPr>
          <w:b/>
          <w:bCs/>
          <w:color w:val="0F172A"/>
          <w:sz w:val="24"/>
          <w:szCs w:val="24"/>
        </w:rPr>
        <w:t xml:space="preserve">Fragmentation of agent experiences</w:t>
      </w:r>
    </w:p>
    <w:p>
      <w:pPr>
        <w:spacing w:after="120"/>
        <w:jc w:val="both"/>
      </w:pPr>
      <w:r>
        <w:rPr>
          <w:color w:val="101112"/>
          <w:sz w:val="22"/>
          <w:szCs w:val="22"/>
        </w:rPr>
        <w:t xml:space="preserve">Product teams reinvent agent patterns from scratch every quarter. Each team defines its own disclosure language, trust signals, error states, and interaction vocabulary — producing experiences that feel inconsistent across a product portfolio and that erode the user's trust in the AI as an organisational capability.</w:t>
      </w:r>
    </w:p>
    <w:p>
      <w:pPr>
        <w:pStyle w:val="Heading3"/>
        <w:spacing w:after="80" w:before="280"/>
      </w:pPr>
      <w:r>
        <w:rPr>
          <w:b/>
          <w:bCs/>
          <w:color w:val="0F172A"/>
          <w:sz w:val="24"/>
          <w:szCs w:val="24"/>
        </w:rPr>
        <w:t xml:space="preserve">No shared vocabulary between design and engineering</w:t>
      </w:r>
    </w:p>
    <w:p>
      <w:pPr>
        <w:spacing w:after="120"/>
        <w:jc w:val="both"/>
      </w:pPr>
      <w:r>
        <w:rPr>
          <w:color w:val="101112"/>
          <w:sz w:val="22"/>
          <w:szCs w:val="22"/>
        </w:rPr>
        <w:t xml:space="preserve">Designers and engineers lack a common frame of reference for agentic UX. Handoffs leak because there is no agreed specification for how patterns like streaming output, action plans, verification, or consent should behave across surfaces. Teams spend time aligning on basics rather than shipping.</w:t>
      </w:r>
    </w:p>
    <w:p>
      <w:pPr>
        <w:pStyle w:val="Heading3"/>
        <w:spacing w:after="80" w:before="280"/>
      </w:pPr>
      <w:r>
        <w:rPr>
          <w:b/>
          <w:bCs/>
          <w:color w:val="0F172A"/>
          <w:sz w:val="24"/>
          <w:szCs w:val="24"/>
        </w:rPr>
        <w:t xml:space="preserve">Trust and compliance blocking delivery</w:t>
      </w:r>
    </w:p>
    <w:p>
      <w:pPr>
        <w:spacing w:after="120"/>
        <w:jc w:val="both"/>
      </w:pPr>
      <w:r>
        <w:rPr>
          <w:color w:val="101112"/>
          <w:sz w:val="22"/>
          <w:szCs w:val="22"/>
        </w:rPr>
        <w:t xml:space="preserve">Compliance teams block AI feature launches because there is no published trust scaffolding — no reference for how disclosure, consent, data ownership, and audit trails should be implemented. Without a shared pattern library, each product team must independently solve these problems before they can ship.</w:t>
      </w:r>
    </w:p>
    <w:p>
      <w:pPr>
        <w:pStyle w:val="Heading3"/>
        <w:spacing w:after="80" w:before="280"/>
      </w:pPr>
      <w:r>
        <w:rPr>
          <w:b/>
          <w:bCs/>
          <w:color w:val="0F172A"/>
          <w:sz w:val="24"/>
          <w:szCs w:val="24"/>
        </w:rPr>
        <w:t xml:space="preserve">No benchmark for "what good looks like"</w:t>
      </w:r>
    </w:p>
    <w:p>
      <w:pPr>
        <w:spacing w:after="120"/>
        <w:jc w:val="both"/>
      </w:pPr>
      <w:r>
        <w:rPr>
          <w:color w:val="101112"/>
          <w:sz w:val="22"/>
          <w:szCs w:val="22"/>
        </w:rPr>
        <w:t xml:space="preserve">AI products move faster than internal design systems can update. Tokens drift, new surface types appear, and there is no established reference for what a high-quality agentic UX pattern looks like in production — making it hard to evaluate or brief contractors, partners, and new team members.</w:t>
      </w:r>
    </w:p>
    <w:p>
      <w:pPr>
        <w:pStyle w:val="Heading3"/>
        <w:spacing w:after="80" w:before="280"/>
      </w:pPr>
      <w:r>
        <w:rPr>
          <w:b/>
          <w:bCs/>
          <w:color w:val="0F172A"/>
          <w:sz w:val="24"/>
          <w:szCs w:val="24"/>
        </w:rPr>
        <w:t xml:space="preserve">Implementation cost of agentic patterns</w:t>
      </w:r>
    </w:p>
    <w:p>
      <w:pPr>
        <w:spacing w:after="120"/>
        <w:jc w:val="both"/>
      </w:pPr>
      <w:r>
        <w:rPr>
          <w:color w:val="101112"/>
          <w:sz w:val="22"/>
          <w:szCs w:val="22"/>
        </w:rPr>
        <w:t xml:space="preserve">Building agentic UI components from scratch — with all required states, variants, trust signals, and surface placements — is expensive. Without a shared library, that cost is paid separately by every team, and the resulting components are not portable across the product portfolio.</w:t>
      </w:r>
    </w:p>
    <w:p>
      <w:pPr>
        <w:pBdr>
          <w:bottom w:val="single" w:color="E2E8F0" w:sz="2"/>
        </w:pBdr>
        <w:spacing w:after="200" w:before="200"/>
      </w:pPr>
    </w:p>
    <w:p>
      <w:pPr>
        <w:pStyle w:val="Heading1"/>
        <w:pBdr>
          <w:bottom w:val="single" w:color="F5C518" w:sz="4" w:space="6"/>
        </w:pBdr>
        <w:spacing w:after="160" w:before="400"/>
      </w:pPr>
      <w:r>
        <w:rPr>
          <w:b/>
          <w:bCs/>
          <w:color w:val="101112"/>
          <w:sz w:val="36"/>
          <w:szCs w:val="36"/>
        </w:rPr>
        <w:t xml:space="preserve">03  Target Users &amp; Personas</w:t>
      </w:r>
    </w:p>
    <w:p>
      <w:pPr>
        <w:spacing w:after="120"/>
        <w:jc w:val="both"/>
      </w:pPr>
      <w:r>
        <w:rPr>
          <w:color w:val="101112"/>
          <w:sz w:val="22"/>
          <w:szCs w:val="22"/>
        </w:rPr>
        <w:t xml:space="preserve">Nucleux serves four buyer and champion archetypes inside enterprise organisations. Each persona comes to the library with a distinct vocabulary, definition of success, and set of pain points. The four personas together cover the full decision-making unit for an enterprise AI design system purchase.</w:t>
      </w:r>
    </w:p>
    <w:p>
      <w:pPr>
        <w:spacing w:after="120"/>
      </w:pPr>
      <w:r>
        <w:rPr>
          <w:color w:val="1011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8FAFC" w:val="clear"/>
            <w:tcMar>
              <w:top w:type="dxa" w:w="120"/>
              <w:left w:type="dxa" w:w="160"/>
              <w:bottom w:type="dxa" w:w="120"/>
              <w:right w:type="dxa" w:w="160"/>
            </w:tcMar>
          </w:tcPr>
          <w:p>
            <w:pPr>
              <w:spacing w:after="60"/>
            </w:pPr>
            <w:r>
              <w:rPr>
                <w:b/>
                <w:bCs/>
                <w:color w:val="101112"/>
                <w:sz w:val="22"/>
                <w:szCs w:val="22"/>
              </w:rPr>
              <w:t xml:space="preserve">AI Platform Lead — </w:t>
            </w:r>
            <w:r>
              <w:rPr>
                <w:color w:val="6B7280"/>
                <w:sz w:val="22"/>
                <w:szCs w:val="22"/>
              </w:rPr>
              <w:t xml:space="preserve">Eric She archetype</w:t>
            </w:r>
          </w:p>
          <w:p>
            <w:pPr>
              <w:spacing w:after="80"/>
            </w:pPr>
            <w:r>
              <w:rPr>
                <w:b/>
                <w:bCs/>
                <w:color w:val="6B7280"/>
                <w:sz w:val="20"/>
                <w:szCs w:val="20"/>
              </w:rPr>
              <w:t xml:space="preserve">Role: </w:t>
            </w:r>
            <w:r>
              <w:rPr>
                <w:color w:val="6B7280"/>
                <w:sz w:val="20"/>
                <w:szCs w:val="20"/>
              </w:rPr>
              <w:t xml:space="preserve">AI Engineer, AI Architect, Head of AI Platform, Director of AI Engineering, Principal AI Engineer</w:t>
            </w:r>
          </w:p>
          <w:p>
            <w:pPr>
              <w:spacing w:after="40"/>
            </w:pPr>
            <w:r>
              <w:rPr>
                <w:b/>
                <w:bCs/>
                <w:color w:val="101112"/>
                <w:sz w:val="20"/>
                <w:szCs w:val="20"/>
              </w:rPr>
              <w:t xml:space="preserve">Primary goals</w:t>
            </w:r>
          </w:p>
          <w:p>
            <w:pPr>
              <w:spacing w:after="40"/>
            </w:pPr>
            <w:r>
              <w:rPr>
                <w:color w:val="374151"/>
                <w:sz w:val="20"/>
                <w:szCs w:val="20"/>
              </w:rPr>
              <w:t xml:space="preserve">• Ship enterprise-grade agentic products that do not break user trust.</w:t>
            </w:r>
          </w:p>
          <w:p>
            <w:pPr>
              <w:spacing w:after="40"/>
            </w:pPr>
            <w:r>
              <w:rPr>
                <w:color w:val="374151"/>
                <w:sz w:val="20"/>
                <w:szCs w:val="20"/>
              </w:rPr>
              <w:t xml:space="preserve">• Design a platform pattern that scales across product lines.</w:t>
            </w:r>
          </w:p>
          <w:p>
            <w:pPr>
              <w:spacing w:after="40"/>
            </w:pPr>
            <w:r>
              <w:rPr>
                <w:color w:val="374151"/>
                <w:sz w:val="20"/>
                <w:szCs w:val="20"/>
              </w:rPr>
              <w:t xml:space="preserve">• Balance model capability with reliability, cost, and observability.</w:t>
            </w:r>
          </w:p>
          <w:p>
            <w:pPr>
              <w:spacing w:after="40"/>
            </w:pPr>
            <w:r>
              <w:rPr>
                <w:color w:val="374151"/>
                <w:sz w:val="20"/>
                <w:szCs w:val="20"/>
              </w:rPr>
              <w:t xml:space="preserve">• Standardise tool-use, permissioning, and recovery across the agent fleet.</w:t>
            </w:r>
          </w:p>
          <w:p>
            <w:pPr>
              <w:spacing w:after="40" w:before="80"/>
            </w:pPr>
            <w:r>
              <w:rPr>
                <w:b/>
                <w:bCs/>
                <w:color w:val="101112"/>
                <w:sz w:val="20"/>
                <w:szCs w:val="20"/>
              </w:rPr>
              <w:t xml:space="preserve">Pain points</w:t>
            </w:r>
          </w:p>
          <w:p>
            <w:pPr>
              <w:spacing w:after="40"/>
            </w:pPr>
            <w:r>
              <w:rPr>
                <w:color w:val="374151"/>
                <w:sz w:val="20"/>
                <w:szCs w:val="20"/>
              </w:rPr>
              <w:t xml:space="preserve">• Internal product teams reinvent agent patterns from scratch every quarter.</w:t>
            </w:r>
          </w:p>
          <w:p>
            <w:pPr>
              <w:spacing w:after="40"/>
            </w:pPr>
            <w:r>
              <w:rPr>
                <w:color w:val="374151"/>
                <w:sz w:val="20"/>
                <w:szCs w:val="20"/>
              </w:rPr>
              <w:t xml:space="preserve">• No shared vocabulary between engineering and design — handoffs leak.</w:t>
            </w:r>
          </w:p>
          <w:p>
            <w:pPr>
              <w:spacing w:after="40"/>
            </w:pPr>
            <w:r>
              <w:rPr>
                <w:color w:val="374151"/>
                <w:sz w:val="20"/>
                <w:szCs w:val="20"/>
              </w:rPr>
              <w:t xml:space="preserve">• Compliance keeps blocking ships because there is no published trust scaffolding.</w:t>
            </w:r>
          </w:p>
          <w:p>
            <w:pPr>
              <w:spacing w:after="40"/>
            </w:pPr>
            <w:r>
              <w:rPr>
                <w:color w:val="374151"/>
                <w:sz w:val="20"/>
                <w:szCs w:val="20"/>
              </w:rPr>
              <w:t xml:space="preserve">• Hard to demonstrate progress to executives without ROI stories tied to design.</w:t>
            </w:r>
          </w:p>
        </w:tc>
      </w:tr>
    </w:tbl>
    <w:p>
      <w:pPr>
        <w:spacing w:after="160"/>
      </w:pPr>
      <w:r>
        <w:rPr>
          <w:color w:val="1011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8FAFC" w:val="clear"/>
            <w:tcMar>
              <w:top w:type="dxa" w:w="120"/>
              <w:left w:type="dxa" w:w="160"/>
              <w:bottom w:type="dxa" w:w="120"/>
              <w:right w:type="dxa" w:w="160"/>
            </w:tcMar>
          </w:tcPr>
          <w:p>
            <w:pPr>
              <w:spacing w:after="60"/>
            </w:pPr>
            <w:r>
              <w:rPr>
                <w:b/>
                <w:bCs/>
                <w:color w:val="101112"/>
                <w:sz w:val="22"/>
                <w:szCs w:val="22"/>
              </w:rPr>
              <w:t xml:space="preserve">AI Experience Lead — </w:t>
            </w:r>
            <w:r>
              <w:rPr>
                <w:color w:val="6B7280"/>
                <w:sz w:val="22"/>
                <w:szCs w:val="22"/>
              </w:rPr>
              <w:t xml:space="preserve">Horst Frankenberger archetype</w:t>
            </w:r>
          </w:p>
          <w:p>
            <w:pPr>
              <w:spacing w:after="80"/>
            </w:pPr>
            <w:r>
              <w:rPr>
                <w:b/>
                <w:bCs/>
                <w:color w:val="6B7280"/>
                <w:sz w:val="20"/>
                <w:szCs w:val="20"/>
              </w:rPr>
              <w:t xml:space="preserve">Role: </w:t>
            </w:r>
            <w:r>
              <w:rPr>
                <w:color w:val="6B7280"/>
                <w:sz w:val="20"/>
                <w:szCs w:val="20"/>
              </w:rPr>
              <w:t xml:space="preserve">UX Engineer, AI Experience Lead, Senior Director Product Design, Head of Design for AI, Design Director, Director of UX</w:t>
            </w:r>
          </w:p>
          <w:p>
            <w:pPr>
              <w:spacing w:after="40"/>
            </w:pPr>
            <w:r>
              <w:rPr>
                <w:b/>
                <w:bCs/>
                <w:color w:val="101112"/>
                <w:sz w:val="20"/>
                <w:szCs w:val="20"/>
              </w:rPr>
              <w:t xml:space="preserve">Primary goals</w:t>
            </w:r>
          </w:p>
          <w:p>
            <w:pPr>
              <w:spacing w:after="40"/>
            </w:pPr>
            <w:r>
              <w:rPr>
                <w:color w:val="374151"/>
                <w:sz w:val="20"/>
                <w:szCs w:val="20"/>
              </w:rPr>
              <w:t xml:space="preserve">• Design consistent AI experiences across a product portfolio.</w:t>
            </w:r>
          </w:p>
          <w:p>
            <w:pPr>
              <w:spacing w:after="40"/>
            </w:pPr>
            <w:r>
              <w:rPr>
                <w:color w:val="374151"/>
                <w:sz w:val="20"/>
                <w:szCs w:val="20"/>
              </w:rPr>
              <w:t xml:space="preserve">• Build a shared cross-surface design system so engineers stop one-offing.</w:t>
            </w:r>
          </w:p>
          <w:p>
            <w:pPr>
              <w:spacing w:after="40"/>
            </w:pPr>
            <w:r>
              <w:rPr>
                <w:color w:val="374151"/>
                <w:sz w:val="20"/>
                <w:szCs w:val="20"/>
              </w:rPr>
              <w:t xml:space="preserve">• Train designers and contractors in agentic UX vocabulary fast.</w:t>
            </w:r>
          </w:p>
          <w:p>
            <w:pPr>
              <w:spacing w:after="40"/>
            </w:pPr>
            <w:r>
              <w:rPr>
                <w:color w:val="374151"/>
                <w:sz w:val="20"/>
                <w:szCs w:val="20"/>
              </w:rPr>
              <w:t xml:space="preserve">• Convince leadership the AI experience is brand-defining, not just a feature.</w:t>
            </w:r>
          </w:p>
          <w:p>
            <w:pPr>
              <w:spacing w:after="40" w:before="80"/>
            </w:pPr>
            <w:r>
              <w:rPr>
                <w:b/>
                <w:bCs/>
                <w:color w:val="101112"/>
                <w:sz w:val="20"/>
                <w:szCs w:val="20"/>
              </w:rPr>
              <w:t xml:space="preserve">Pain points</w:t>
            </w:r>
          </w:p>
          <w:p>
            <w:pPr>
              <w:spacing w:after="40"/>
            </w:pPr>
            <w:r>
              <w:rPr>
                <w:color w:val="374151"/>
                <w:sz w:val="20"/>
                <w:szCs w:val="20"/>
              </w:rPr>
              <w:t xml:space="preserve">• Three product teams shipped three different "agent" experiences last year.</w:t>
            </w:r>
          </w:p>
          <w:p>
            <w:pPr>
              <w:spacing w:after="40"/>
            </w:pPr>
            <w:r>
              <w:rPr>
                <w:color w:val="374151"/>
                <w:sz w:val="20"/>
                <w:szCs w:val="20"/>
              </w:rPr>
              <w:t xml:space="preserve">• Designers cannot articulate AI patterns to engineers in the same vocabulary.</w:t>
            </w:r>
          </w:p>
          <w:p>
            <w:pPr>
              <w:spacing w:after="40"/>
            </w:pPr>
            <w:r>
              <w:rPr>
                <w:color w:val="374151"/>
                <w:sz w:val="20"/>
                <w:szCs w:val="20"/>
              </w:rPr>
              <w:t xml:space="preserve">• No reference for what good looks like in agentic UX.</w:t>
            </w:r>
          </w:p>
          <w:p>
            <w:pPr>
              <w:spacing w:after="40"/>
            </w:pPr>
            <w:r>
              <w:rPr>
                <w:color w:val="374151"/>
                <w:sz w:val="20"/>
                <w:szCs w:val="20"/>
              </w:rPr>
              <w:t xml:space="preserve">• Briefing contractors and partners on the AI design language eats weeks.</w:t>
            </w:r>
          </w:p>
          <w:p>
            <w:pPr>
              <w:spacing w:after="40"/>
            </w:pPr>
            <w:r>
              <w:rPr>
                <w:color w:val="374151"/>
                <w:sz w:val="20"/>
                <w:szCs w:val="20"/>
              </w:rPr>
              <w:t xml:space="preserve">• AI moves faster than design system updates; tokens drift.</w:t>
            </w:r>
          </w:p>
        </w:tc>
      </w:tr>
    </w:tbl>
    <w:p>
      <w:pPr>
        <w:spacing w:after="160"/>
      </w:pPr>
      <w:r>
        <w:rPr>
          <w:color w:val="1011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8FAFC" w:val="clear"/>
            <w:tcMar>
              <w:top w:type="dxa" w:w="120"/>
              <w:left w:type="dxa" w:w="160"/>
              <w:bottom w:type="dxa" w:w="120"/>
              <w:right w:type="dxa" w:w="160"/>
            </w:tcMar>
          </w:tcPr>
          <w:p>
            <w:pPr>
              <w:spacing w:after="60"/>
            </w:pPr>
            <w:r>
              <w:rPr>
                <w:b/>
                <w:bCs/>
                <w:color w:val="101112"/>
                <w:sz w:val="22"/>
                <w:szCs w:val="22"/>
              </w:rPr>
              <w:t xml:space="preserve">AI Strategy / Transformation Leader — </w:t>
            </w:r>
            <w:r>
              <w:rPr>
                <w:color w:val="6B7280"/>
                <w:sz w:val="22"/>
                <w:szCs w:val="22"/>
              </w:rPr>
              <w:t xml:space="preserve">Stephanie Cheney archetype</w:t>
            </w:r>
          </w:p>
          <w:p>
            <w:pPr>
              <w:spacing w:after="80"/>
            </w:pPr>
            <w:r>
              <w:rPr>
                <w:b/>
                <w:bCs/>
                <w:color w:val="6B7280"/>
                <w:sz w:val="20"/>
                <w:szCs w:val="20"/>
              </w:rPr>
              <w:t xml:space="preserve">Role: </w:t>
            </w:r>
            <w:r>
              <w:rPr>
                <w:color w:val="6B7280"/>
                <w:sz w:val="20"/>
                <w:szCs w:val="20"/>
              </w:rPr>
              <w:t xml:space="preserve">SVP Strategy &amp; AI, Chief AI Officer, Head of AI Transformation, VP Enterprise AI Adoption, AI Strategy Lead</w:t>
            </w:r>
          </w:p>
          <w:p>
            <w:pPr>
              <w:spacing w:after="40"/>
            </w:pPr>
            <w:r>
              <w:rPr>
                <w:b/>
                <w:bCs/>
                <w:color w:val="101112"/>
                <w:sz w:val="20"/>
                <w:szCs w:val="20"/>
              </w:rPr>
              <w:t xml:space="preserve">Primary goals</w:t>
            </w:r>
          </w:p>
          <w:p>
            <w:pPr>
              <w:spacing w:after="40"/>
            </w:pPr>
            <w:r>
              <w:rPr>
                <w:color w:val="374151"/>
                <w:sz w:val="20"/>
                <w:szCs w:val="20"/>
              </w:rPr>
              <w:t xml:space="preserve">• Build the organisational case for AI investment.</w:t>
            </w:r>
          </w:p>
          <w:p>
            <w:pPr>
              <w:spacing w:after="40"/>
            </w:pPr>
            <w:r>
              <w:rPr>
                <w:color w:val="374151"/>
                <w:sz w:val="20"/>
                <w:szCs w:val="20"/>
              </w:rPr>
              <w:t xml:space="preserve">• Sponsor strategic agentic AI initiatives.</w:t>
            </w:r>
          </w:p>
          <w:p>
            <w:pPr>
              <w:spacing w:after="40"/>
            </w:pPr>
            <w:r>
              <w:rPr>
                <w:color w:val="374151"/>
                <w:sz w:val="20"/>
                <w:szCs w:val="20"/>
              </w:rPr>
              <w:t xml:space="preserve">• Drive adoption across business units.</w:t>
            </w:r>
          </w:p>
          <w:p>
            <w:pPr>
              <w:spacing w:after="40"/>
            </w:pPr>
            <w:r>
              <w:rPr>
                <w:color w:val="374151"/>
                <w:sz w:val="20"/>
                <w:szCs w:val="20"/>
              </w:rPr>
              <w:t xml:space="preserve">• Reduce time-to-value on AI programmes.</w:t>
            </w:r>
          </w:p>
          <w:p>
            <w:pPr>
              <w:spacing w:after="40" w:before="80"/>
            </w:pPr>
            <w:r>
              <w:rPr>
                <w:b/>
                <w:bCs/>
                <w:color w:val="101112"/>
                <w:sz w:val="20"/>
                <w:szCs w:val="20"/>
              </w:rPr>
              <w:t xml:space="preserve">Pain points</w:t>
            </w:r>
          </w:p>
          <w:p>
            <w:pPr>
              <w:spacing w:after="40"/>
            </w:pPr>
            <w:r>
              <w:rPr>
                <w:color w:val="374151"/>
                <w:sz w:val="20"/>
                <w:szCs w:val="20"/>
              </w:rPr>
              <w:t xml:space="preserve">• AI investments are not producing measurable adoption.</w:t>
            </w:r>
          </w:p>
          <w:p>
            <w:pPr>
              <w:spacing w:after="40"/>
            </w:pPr>
            <w:r>
              <w:rPr>
                <w:color w:val="374151"/>
                <w:sz w:val="20"/>
                <w:szCs w:val="20"/>
              </w:rPr>
              <w:t xml:space="preserve">• Business unit leaders cannot agree on patterns or standards.</w:t>
            </w:r>
          </w:p>
          <w:p>
            <w:pPr>
              <w:spacing w:after="40"/>
            </w:pPr>
            <w:r>
              <w:rPr>
                <w:color w:val="374151"/>
                <w:sz w:val="20"/>
                <w:szCs w:val="20"/>
              </w:rPr>
              <w:t xml:space="preserve">• Hard to articulate the design dimension of AI strategy to executive peers.</w:t>
            </w:r>
          </w:p>
          <w:p>
            <w:pPr>
              <w:spacing w:after="40"/>
            </w:pPr>
            <w:r>
              <w:rPr>
                <w:color w:val="374151"/>
                <w:sz w:val="20"/>
                <w:szCs w:val="20"/>
              </w:rPr>
              <w:t xml:space="preserve">• Roadmap discussions stuck in capability-vs-trust trade-offs.</w:t>
            </w:r>
          </w:p>
          <w:p>
            <w:pPr>
              <w:spacing w:after="40"/>
            </w:pPr>
            <w:r>
              <w:rPr>
                <w:color w:val="374151"/>
                <w:sz w:val="20"/>
                <w:szCs w:val="20"/>
              </w:rPr>
              <w:t xml:space="preserve">• Hard to benchmark progress without peer references.</w:t>
            </w:r>
          </w:p>
        </w:tc>
      </w:tr>
    </w:tbl>
    <w:p>
      <w:pPr>
        <w:spacing w:after="160"/>
      </w:pPr>
      <w:r>
        <w:rPr>
          <w:color w:val="10111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8FAFC" w:val="clear"/>
            <w:tcMar>
              <w:top w:type="dxa" w:w="120"/>
              <w:left w:type="dxa" w:w="160"/>
              <w:bottom w:type="dxa" w:w="120"/>
              <w:right w:type="dxa" w:w="160"/>
            </w:tcMar>
          </w:tcPr>
          <w:p>
            <w:pPr>
              <w:spacing w:after="60"/>
            </w:pPr>
            <w:r>
              <w:rPr>
                <w:b/>
                <w:bCs/>
                <w:color w:val="101112"/>
                <w:sz w:val="22"/>
                <w:szCs w:val="22"/>
              </w:rPr>
              <w:t xml:space="preserve">Enterprise CTO — </w:t>
            </w:r>
            <w:r>
              <w:rPr>
                <w:color w:val="6B7280"/>
                <w:sz w:val="22"/>
                <w:szCs w:val="22"/>
              </w:rPr>
              <w:t xml:space="preserve">Tristan Springmeyer archetype</w:t>
            </w:r>
          </w:p>
          <w:p>
            <w:pPr>
              <w:spacing w:after="80"/>
            </w:pPr>
            <w:r>
              <w:rPr>
                <w:b/>
                <w:bCs/>
                <w:color w:val="6B7280"/>
                <w:sz w:val="20"/>
                <w:szCs w:val="20"/>
              </w:rPr>
              <w:t xml:space="preserve">Role: </w:t>
            </w:r>
            <w:r>
              <w:rPr>
                <w:color w:val="6B7280"/>
                <w:sz w:val="20"/>
                <w:szCs w:val="20"/>
              </w:rPr>
              <w:t xml:space="preserve">CTO, Chief Architect, SVP Cloud Adoption, SVP Enterprise Architecture, VP Platform</w:t>
            </w:r>
          </w:p>
          <w:p>
            <w:pPr>
              <w:spacing w:after="40"/>
            </w:pPr>
            <w:r>
              <w:rPr>
                <w:b/>
                <w:bCs/>
                <w:color w:val="101112"/>
                <w:sz w:val="20"/>
                <w:szCs w:val="20"/>
              </w:rPr>
              <w:t xml:space="preserve">Primary goals</w:t>
            </w:r>
          </w:p>
          <w:p>
            <w:pPr>
              <w:spacing w:after="40"/>
            </w:pPr>
            <w:r>
              <w:rPr>
                <w:color w:val="374151"/>
                <w:sz w:val="20"/>
                <w:szCs w:val="20"/>
              </w:rPr>
              <w:t xml:space="preserve">• Standardise AI patterns across the product portfolio.</w:t>
            </w:r>
          </w:p>
          <w:p>
            <w:pPr>
              <w:spacing w:after="40"/>
            </w:pPr>
            <w:r>
              <w:rPr>
                <w:color w:val="374151"/>
                <w:sz w:val="20"/>
                <w:szCs w:val="20"/>
              </w:rPr>
              <w:t xml:space="preserve">• Manage governance, compliance, and audit at scale.</w:t>
            </w:r>
          </w:p>
          <w:p>
            <w:pPr>
              <w:spacing w:after="40"/>
            </w:pPr>
            <w:r>
              <w:rPr>
                <w:color w:val="374151"/>
                <w:sz w:val="20"/>
                <w:szCs w:val="20"/>
              </w:rPr>
              <w:t xml:space="preserve">• Scale the platform reliably across teams and regions.</w:t>
            </w:r>
          </w:p>
          <w:p>
            <w:pPr>
              <w:spacing w:after="40"/>
            </w:pPr>
            <w:r>
              <w:rPr>
                <w:color w:val="374151"/>
                <w:sz w:val="20"/>
                <w:szCs w:val="20"/>
              </w:rPr>
              <w:t xml:space="preserve">• Reduce shadow-AI and one-off agent deployments.</w:t>
            </w:r>
          </w:p>
          <w:p>
            <w:pPr>
              <w:spacing w:after="40" w:before="80"/>
            </w:pPr>
            <w:r>
              <w:rPr>
                <w:b/>
                <w:bCs/>
                <w:color w:val="101112"/>
                <w:sz w:val="20"/>
                <w:szCs w:val="20"/>
              </w:rPr>
              <w:t xml:space="preserve">Pain points</w:t>
            </w:r>
          </w:p>
          <w:p>
            <w:pPr>
              <w:spacing w:after="40"/>
            </w:pPr>
            <w:r>
              <w:rPr>
                <w:color w:val="374151"/>
                <w:sz w:val="20"/>
                <w:szCs w:val="20"/>
              </w:rPr>
              <w:t xml:space="preserve">• Compliance team blocking deployments.</w:t>
            </w:r>
          </w:p>
          <w:p>
            <w:pPr>
              <w:spacing w:after="40"/>
            </w:pPr>
            <w:r>
              <w:rPr>
                <w:color w:val="374151"/>
                <w:sz w:val="20"/>
                <w:szCs w:val="20"/>
              </w:rPr>
              <w:t xml:space="preserve">• No single source of truth for AI patterns across the organisation.</w:t>
            </w:r>
          </w:p>
          <w:p>
            <w:pPr>
              <w:spacing w:after="40"/>
            </w:pPr>
            <w:r>
              <w:rPr>
                <w:color w:val="374151"/>
                <w:sz w:val="20"/>
                <w:szCs w:val="20"/>
              </w:rPr>
              <w:t xml:space="preserve">• Audit trail patchwork.</w:t>
            </w:r>
          </w:p>
          <w:p>
            <w:pPr>
              <w:spacing w:after="40"/>
            </w:pPr>
            <w:r>
              <w:rPr>
                <w:color w:val="374151"/>
                <w:sz w:val="20"/>
                <w:szCs w:val="20"/>
              </w:rPr>
              <w:t xml:space="preserve">• Data ownership and training opt-out enforcement is inconsistent across teams.</w:t>
            </w:r>
          </w:p>
          <w:p>
            <w:pPr>
              <w:spacing w:after="40"/>
            </w:pPr>
            <w:r>
              <w:rPr>
                <w:color w:val="374151"/>
                <w:sz w:val="20"/>
                <w:szCs w:val="20"/>
              </w:rPr>
              <w:t xml:space="preserve">• Pressure to have an AI strategy without an architectural backbone.</w:t>
            </w:r>
          </w:p>
        </w:tc>
      </w:tr>
    </w:tbl>
    <w:p>
      <w:pPr>
        <w:spacing w:after="200"/>
      </w:pPr>
      <w:r>
        <w:rPr>
          <w:color w:val="101112"/>
          <w:sz w:val="22"/>
          <w:szCs w:val="22"/>
        </w:rPr>
        <w:t xml:space="preserve"/>
      </w:r>
    </w:p>
    <w:p>
      <w:pPr>
        <w:pBdr>
          <w:bottom w:val="single" w:color="E2E8F0" w:sz="2"/>
        </w:pBdr>
        <w:spacing w:after="200" w:before="200"/>
      </w:pPr>
    </w:p>
    <w:p>
      <w:pPr>
        <w:pStyle w:val="Heading1"/>
        <w:pBdr>
          <w:bottom w:val="single" w:color="F5C518" w:sz="4" w:space="6"/>
        </w:pBdr>
        <w:spacing w:after="160" w:before="400"/>
      </w:pPr>
      <w:r>
        <w:rPr>
          <w:b/>
          <w:bCs/>
          <w:color w:val="101112"/>
          <w:sz w:val="36"/>
          <w:szCs w:val="36"/>
        </w:rPr>
        <w:t xml:space="preserve">04  Agent Goal</w:t>
      </w:r>
    </w:p>
    <w:p>
      <w:pPr>
        <w:spacing w:after="120"/>
        <w:jc w:val="both"/>
      </w:pPr>
      <w:r>
        <w:rPr>
          <w:color w:val="101112"/>
          <w:sz w:val="22"/>
          <w:szCs w:val="22"/>
        </w:rPr>
        <w:t xml:space="preserve">The Lumen discovery agent is the conversational interface to the Nucleux pattern library. Its goal is to reduce the time between a team's first question about an agentic UX pattern and a correct, implemented, trust-compliant component in their product.</w:t>
      </w:r>
    </w:p>
    <w:p>
      <w:pPr>
        <w:pStyle w:val="Heading3"/>
        <w:spacing w:after="80" w:before="280"/>
      </w:pPr>
      <w:r>
        <w:rPr>
          <w:b/>
          <w:bCs/>
          <w:color w:val="0F172A"/>
          <w:sz w:val="24"/>
          <w:szCs w:val="24"/>
        </w:rPr>
        <w:t xml:space="preserve">What Lumen does</w:t>
      </w:r>
    </w:p>
    <w:p>
      <w:pPr>
        <w:pStyle w:val="ListParagraph"/>
        <w:numPr>
          <w:ilvl w:val="0"/>
          <w:numId w:val="1"/>
        </w:numPr>
        <w:spacing w:after="80"/>
      </w:pPr>
      <w:r>
        <w:rPr>
          <w:color w:val="101112"/>
          <w:sz w:val="22"/>
          <w:szCs w:val="22"/>
        </w:rPr>
        <w:t xml:space="preserve">Detects the user's persona from their opening message — using vocabulary signals (tool calls, design system, roadmap, compliance) — and routes the conversation to the appropriate pattern bundle and scenario arc.</w:t>
      </w:r>
    </w:p>
    <w:p>
      <w:pPr>
        <w:pStyle w:val="ListParagraph"/>
        <w:numPr>
          <w:ilvl w:val="0"/>
          <w:numId w:val="1"/>
        </w:numPr>
        <w:spacing w:after="80"/>
      </w:pPr>
      <w:r>
        <w:rPr>
          <w:color w:val="101112"/>
          <w:sz w:val="22"/>
          <w:szCs w:val="22"/>
        </w:rPr>
        <w:t xml:space="preserve">Recommends pattern bundles before variants, drilling down on user signal, so the response is always actionable rather than exhaustive.</w:t>
      </w:r>
    </w:p>
    <w:p>
      <w:pPr>
        <w:pStyle w:val="ListParagraph"/>
        <w:numPr>
          <w:ilvl w:val="0"/>
          <w:numId w:val="1"/>
        </w:numPr>
        <w:spacing w:after="80"/>
      </w:pPr>
      <w:r>
        <w:rPr>
          <w:color w:val="101112"/>
          <w:sz w:val="22"/>
          <w:szCs w:val="22"/>
        </w:rPr>
        <w:t xml:space="preserve">Moves conversations to the sandbox when they become abstract — showing patterns visually in six product archetypes (chat, right-rail, canvas, code editor, video, email).</w:t>
      </w:r>
    </w:p>
    <w:p>
      <w:pPr>
        <w:pStyle w:val="ListParagraph"/>
        <w:numPr>
          <w:ilvl w:val="0"/>
          <w:numId w:val="1"/>
        </w:numPr>
        <w:spacing w:after="80"/>
      </w:pPr>
      <w:r>
        <w:rPr>
          <w:color w:val="101112"/>
          <w:sz w:val="22"/>
          <w:szCs w:val="22"/>
        </w:rPr>
        <w:t xml:space="preserve">Surfaces case studies when the conversation turns strategic, to move the user from exploration into a buyer or implementation mindset.</w:t>
      </w:r>
    </w:p>
    <w:p>
      <w:pPr>
        <w:pStyle w:val="ListParagraph"/>
        <w:numPr>
          <w:ilvl w:val="0"/>
          <w:numId w:val="1"/>
        </w:numPr>
        <w:spacing w:after="80"/>
      </w:pPr>
      <w:r>
        <w:rPr>
          <w:color w:val="101112"/>
          <w:sz w:val="22"/>
          <w:szCs w:val="22"/>
        </w:rPr>
        <w:t xml:space="preserve">Offers the contact form when the conversation signals qualification: role disclosed, specific project context, multi-turn engagement, or a shipping timeline mentioned.</w:t>
      </w:r>
    </w:p>
    <w:p>
      <w:pPr>
        <w:pStyle w:val="ListParagraph"/>
        <w:numPr>
          <w:ilvl w:val="0"/>
          <w:numId w:val="1"/>
        </w:numPr>
        <w:spacing w:after="80"/>
      </w:pPr>
      <w:r>
        <w:rPr>
          <w:color w:val="101112"/>
          <w:sz w:val="22"/>
          <w:szCs w:val="22"/>
        </w:rPr>
        <w:t xml:space="preserve">Maintains scenario lock — once a scenario is detected, the next two or three responses stay within that scenario's arc rather than restarting routing.</w:t>
      </w:r>
    </w:p>
    <w:p>
      <w:pPr>
        <w:spacing w:after="120"/>
      </w:pPr>
      <w:r>
        <w:rPr>
          <w:color w:val="101112"/>
          <w:sz w:val="22"/>
          <w:szCs w:val="22"/>
        </w:rPr>
        <w:t xml:space="preserve"/>
      </w:r>
    </w:p>
    <w:p>
      <w:pPr>
        <w:pStyle w:val="Heading3"/>
        <w:spacing w:after="80" w:before="280"/>
      </w:pPr>
      <w:r>
        <w:rPr>
          <w:b/>
          <w:bCs/>
          <w:color w:val="0F172A"/>
          <w:sz w:val="24"/>
          <w:szCs w:val="24"/>
        </w:rPr>
        <w:t xml:space="preserve">Lumen's four scenario arcs by persona</w:t>
      </w:r>
    </w:p>
    <w:p>
      <w:pPr>
        <w:pStyle w:val="ListParagraph"/>
        <w:numPr>
          <w:ilvl w:val="0"/>
          <w:numId w:val="1"/>
        </w:numPr>
        <w:spacing w:after="80"/>
      </w:pPr>
      <w:r>
        <w:rPr>
          <w:color w:val="101112"/>
          <w:sz w:val="22"/>
          <w:szCs w:val="22"/>
        </w:rPr>
        <w:t xml:space="preserve">AI Platform Lead: production-readiness audit; tool-call transparency deep-dive; cross-archetype pattern comparison.</w:t>
      </w:r>
    </w:p>
    <w:p>
      <w:pPr>
        <w:pStyle w:val="ListParagraph"/>
        <w:numPr>
          <w:ilvl w:val="0"/>
          <w:numId w:val="1"/>
        </w:numPr>
        <w:spacing w:after="80"/>
      </w:pPr>
      <w:r>
        <w:rPr>
          <w:color w:val="101112"/>
          <w:sz w:val="22"/>
          <w:szCs w:val="22"/>
        </w:rPr>
        <w:t xml:space="preserve">AI Experience Lead: cross-surface consistency audit; onboarding designers to agentic UX; briefing senior leadership.</w:t>
      </w:r>
    </w:p>
    <w:p>
      <w:pPr>
        <w:pStyle w:val="ListParagraph"/>
        <w:numPr>
          <w:ilvl w:val="0"/>
          <w:numId w:val="1"/>
        </w:numPr>
        <w:spacing w:after="80"/>
      </w:pPr>
      <w:r>
        <w:rPr>
          <w:color w:val="101112"/>
          <w:sz w:val="22"/>
          <w:szCs w:val="22"/>
        </w:rPr>
        <w:t xml:space="preserve">Strategy / Transformation Leader: building the AI roadmap; executive briefing preparation; cross-business-unit adoption.</w:t>
      </w:r>
    </w:p>
    <w:p>
      <w:pPr>
        <w:pStyle w:val="ListParagraph"/>
        <w:numPr>
          <w:ilvl w:val="0"/>
          <w:numId w:val="1"/>
        </w:numPr>
        <w:spacing w:after="80"/>
      </w:pPr>
      <w:r>
        <w:rPr>
          <w:color w:val="101112"/>
          <w:sz w:val="22"/>
          <w:szCs w:val="22"/>
        </w:rPr>
        <w:t xml:space="preserve">Enterprise CTO: compliance and governance review; multi-team rollout; architecture deep-dive.</w:t>
      </w:r>
    </w:p>
    <w:p>
      <w:pPr>
        <w:spacing w:after="200"/>
      </w:pPr>
      <w:r>
        <w:rPr>
          <w:color w:val="101112"/>
          <w:sz w:val="22"/>
          <w:szCs w:val="22"/>
        </w:rPr>
        <w:t xml:space="preserve"/>
      </w:r>
    </w:p>
    <w:p>
      <w:pPr>
        <w:pBdr>
          <w:bottom w:val="single" w:color="E2E8F0" w:sz="2"/>
        </w:pBdr>
        <w:spacing w:after="200" w:before="200"/>
      </w:pPr>
    </w:p>
    <w:p>
      <w:pPr>
        <w:pStyle w:val="Heading1"/>
        <w:pBdr>
          <w:bottom w:val="single" w:color="F5C518" w:sz="4" w:space="6"/>
        </w:pBdr>
        <w:spacing w:after="160" w:before="400"/>
      </w:pPr>
      <w:r>
        <w:rPr>
          <w:b/>
          <w:bCs/>
          <w:color w:val="101112"/>
          <w:sz w:val="36"/>
          <w:szCs w:val="36"/>
        </w:rPr>
        <w:t xml:space="preserve">05  Required Capabilities, Tools, Data, Permissions &amp; Human Controls</w:t>
      </w:r>
    </w:p>
    <w:p>
      <w:pPr>
        <w:pStyle w:val="Heading2"/>
        <w:spacing w:after="120" w:before="360"/>
      </w:pPr>
      <w:r>
        <w:rPr>
          <w:b/>
          <w:bCs/>
          <w:color w:val="101112"/>
          <w:sz w:val="28"/>
          <w:szCs w:val="28"/>
        </w:rPr>
        <w:t xml:space="preserve">5.1  Capabilities</w:t>
      </w:r>
    </w:p>
    <w:p>
      <w:pPr>
        <w:pStyle w:val="Heading3"/>
        <w:spacing w:after="80" w:before="280"/>
      </w:pPr>
      <w:r>
        <w:rPr>
          <w:b/>
          <w:bCs/>
          <w:color w:val="0F172A"/>
          <w:sz w:val="24"/>
          <w:szCs w:val="24"/>
        </w:rPr>
        <w:t xml:space="preserve">Pattern library</w:t>
      </w:r>
    </w:p>
    <w:p>
      <w:pPr>
        <w:pStyle w:val="ListParagraph"/>
        <w:numPr>
          <w:ilvl w:val="0"/>
          <w:numId w:val="1"/>
        </w:numPr>
        <w:spacing w:after="80"/>
      </w:pPr>
      <w:r>
        <w:rPr>
          <w:color w:val="101112"/>
          <w:sz w:val="22"/>
          <w:szCs w:val="22"/>
        </w:rPr>
        <w:t xml:space="preserve">88 UX patterns across four lifecycle stages: Onboarding, Initially, During Interaction, Over Time.</w:t>
      </w:r>
    </w:p>
    <w:p>
      <w:pPr>
        <w:pStyle w:val="ListParagraph"/>
        <w:numPr>
          <w:ilvl w:val="0"/>
          <w:numId w:val="1"/>
        </w:numPr>
        <w:spacing w:after="80"/>
      </w:pPr>
      <w:r>
        <w:rPr>
          <w:color w:val="101112"/>
          <w:sz w:val="22"/>
          <w:szCs w:val="22"/>
        </w:rPr>
        <w:t xml:space="preserve">Each pattern carries: one-line definition, what / why / when / how, Figma component references, code example, related patterns, variants (2–4 per pattern), and in-context placements across six product archetypes.</w:t>
      </w:r>
    </w:p>
    <w:p>
      <w:pPr>
        <w:pStyle w:val="ListParagraph"/>
        <w:numPr>
          <w:ilvl w:val="0"/>
          <w:numId w:val="1"/>
        </w:numPr>
        <w:spacing w:after="80"/>
      </w:pPr>
      <w:r>
        <w:rPr>
          <w:color w:val="101112"/>
          <w:sz w:val="22"/>
          <w:szCs w:val="22"/>
        </w:rPr>
        <w:t xml:space="preserve">Patterns are tagged by trust value (Critical / High / Standard), HAX guideline mapping, and source reference.</w:t>
      </w:r>
    </w:p>
    <w:p>
      <w:pPr>
        <w:pStyle w:val="Heading3"/>
        <w:spacing w:after="80" w:before="280"/>
      </w:pPr>
      <w:r>
        <w:rPr>
          <w:b/>
          <w:bCs/>
          <w:color w:val="0F172A"/>
          <w:sz w:val="24"/>
          <w:szCs w:val="24"/>
        </w:rPr>
        <w:t xml:space="preserve">Discovery agent (Lumen)</w:t>
      </w:r>
    </w:p>
    <w:p>
      <w:pPr>
        <w:pStyle w:val="ListParagraph"/>
        <w:numPr>
          <w:ilvl w:val="0"/>
          <w:numId w:val="1"/>
        </w:numPr>
        <w:spacing w:after="80"/>
      </w:pPr>
      <w:r>
        <w:rPr>
          <w:color w:val="101112"/>
          <w:sz w:val="22"/>
          <w:szCs w:val="22"/>
        </w:rPr>
        <w:t xml:space="preserve">Persona detection from vocabulary signals.</w:t>
      </w:r>
    </w:p>
    <w:p>
      <w:pPr>
        <w:pStyle w:val="ListParagraph"/>
        <w:numPr>
          <w:ilvl w:val="0"/>
          <w:numId w:val="1"/>
        </w:numPr>
        <w:spacing w:after="80"/>
      </w:pPr>
      <w:r>
        <w:rPr>
          <w:color w:val="101112"/>
          <w:sz w:val="22"/>
          <w:szCs w:val="22"/>
        </w:rPr>
        <w:t xml:space="preserve">Scenario routing and scenario-lock (multi-turn coherence).</w:t>
      </w:r>
    </w:p>
    <w:p>
      <w:pPr>
        <w:pStyle w:val="ListParagraph"/>
        <w:numPr>
          <w:ilvl w:val="0"/>
          <w:numId w:val="1"/>
        </w:numPr>
        <w:spacing w:after="80"/>
      </w:pPr>
      <w:r>
        <w:rPr>
          <w:color w:val="101112"/>
          <w:sz w:val="22"/>
          <w:szCs w:val="22"/>
        </w:rPr>
        <w:t xml:space="preserve">Bundle-first recommendations with drill-down on signal.</w:t>
      </w:r>
    </w:p>
    <w:p>
      <w:pPr>
        <w:pStyle w:val="ListParagraph"/>
        <w:numPr>
          <w:ilvl w:val="0"/>
          <w:numId w:val="1"/>
        </w:numPr>
        <w:spacing w:after="80"/>
      </w:pPr>
      <w:r>
        <w:rPr>
          <w:color w:val="101112"/>
          <w:sz w:val="22"/>
          <w:szCs w:val="22"/>
        </w:rPr>
        <w:t xml:space="preserve">Sandbox configuration: opens the immersive sandbox in the user's named product archetype.</w:t>
      </w:r>
    </w:p>
    <w:p>
      <w:pPr>
        <w:pStyle w:val="ListParagraph"/>
        <w:numPr>
          <w:ilvl w:val="0"/>
          <w:numId w:val="1"/>
        </w:numPr>
        <w:spacing w:after="80"/>
      </w:pPr>
      <w:r>
        <w:rPr>
          <w:color w:val="101112"/>
          <w:sz w:val="22"/>
          <w:szCs w:val="22"/>
        </w:rPr>
        <w:t xml:space="preserve">Case-study surfacing, weighted per persona.</w:t>
      </w:r>
    </w:p>
    <w:p>
      <w:pPr>
        <w:pStyle w:val="ListParagraph"/>
        <w:numPr>
          <w:ilvl w:val="0"/>
          <w:numId w:val="1"/>
        </w:numPr>
        <w:spacing w:after="80"/>
      </w:pPr>
      <w:r>
        <w:rPr>
          <w:color w:val="101112"/>
          <w:sz w:val="22"/>
          <w:szCs w:val="22"/>
        </w:rPr>
        <w:t xml:space="preserve">Contact form prefill with detected role and conversation context.</w:t>
      </w:r>
    </w:p>
    <w:p>
      <w:pPr>
        <w:pStyle w:val="Heading3"/>
        <w:spacing w:after="80" w:before="280"/>
      </w:pPr>
      <w:r>
        <w:rPr>
          <w:b/>
          <w:bCs/>
          <w:color w:val="0F172A"/>
          <w:sz w:val="24"/>
          <w:szCs w:val="24"/>
        </w:rPr>
        <w:t xml:space="preserve">Immersive sandbox</w:t>
      </w:r>
    </w:p>
    <w:p>
      <w:pPr>
        <w:pStyle w:val="ListParagraph"/>
        <w:numPr>
          <w:ilvl w:val="0"/>
          <w:numId w:val="1"/>
        </w:numPr>
        <w:spacing w:after="80"/>
      </w:pPr>
      <w:r>
        <w:rPr>
          <w:color w:val="101112"/>
          <w:sz w:val="22"/>
          <w:szCs w:val="22"/>
        </w:rPr>
        <w:t xml:space="preserve">Six product archetypes: chat, right-rail assistant, creative canvas, video editor, code editor, email composer.</w:t>
      </w:r>
    </w:p>
    <w:p>
      <w:pPr>
        <w:pStyle w:val="ListParagraph"/>
        <w:numPr>
          <w:ilvl w:val="0"/>
          <w:numId w:val="1"/>
        </w:numPr>
        <w:spacing w:after="80"/>
      </w:pPr>
      <w:r>
        <w:rPr>
          <w:color w:val="101112"/>
          <w:sz w:val="22"/>
          <w:szCs w:val="22"/>
        </w:rPr>
        <w:t xml:space="preserve">Renders each pattern in-context so users see — not just read — how patterns behave on their surface.</w:t>
      </w:r>
    </w:p>
    <w:p>
      <w:pPr>
        <w:pStyle w:val="Heading3"/>
        <w:spacing w:after="80" w:before="280"/>
      </w:pPr>
      <w:r>
        <w:rPr>
          <w:b/>
          <w:bCs/>
          <w:color w:val="0F172A"/>
          <w:sz w:val="24"/>
          <w:szCs w:val="24"/>
        </w:rPr>
        <w:t xml:space="preserve">MCP server</w:t>
      </w:r>
    </w:p>
    <w:p>
      <w:pPr>
        <w:pStyle w:val="ListParagraph"/>
        <w:numPr>
          <w:ilvl w:val="0"/>
          <w:numId w:val="1"/>
        </w:numPr>
        <w:spacing w:after="80"/>
      </w:pPr>
      <w:r>
        <w:rPr>
          <w:color w:val="101112"/>
          <w:sz w:val="22"/>
          <w:szCs w:val="22"/>
        </w:rPr>
        <w:t xml:space="preserve">Exposes the full pattern library as a programmatic API.</w:t>
      </w:r>
    </w:p>
    <w:p>
      <w:pPr>
        <w:pStyle w:val="ListParagraph"/>
        <w:numPr>
          <w:ilvl w:val="0"/>
          <w:numId w:val="1"/>
        </w:numPr>
        <w:spacing w:after="80"/>
      </w:pPr>
      <w:r>
        <w:rPr>
          <w:color w:val="101112"/>
          <w:sz w:val="22"/>
          <w:szCs w:val="22"/>
        </w:rPr>
        <w:t xml:space="preserve">Supports AI development environments: Claude, VS Code, Cursor, and other MCP-compatible tools.</w:t>
      </w:r>
    </w:p>
    <w:p>
      <w:pPr>
        <w:pStyle w:val="ListParagraph"/>
        <w:numPr>
          <w:ilvl w:val="0"/>
          <w:numId w:val="1"/>
        </w:numPr>
        <w:spacing w:after="80"/>
      </w:pPr>
      <w:r>
        <w:rPr>
          <w:color w:val="101112"/>
          <w:sz w:val="22"/>
          <w:szCs w:val="22"/>
        </w:rPr>
        <w:t xml:space="preserve">Returns: component listings, documentation, properties, variants, design tokens, and implementation-ready code.</w:t>
      </w:r>
    </w:p>
    <w:p>
      <w:pPr>
        <w:pStyle w:val="Heading3"/>
        <w:spacing w:after="80" w:before="280"/>
      </w:pPr>
      <w:r>
        <w:rPr>
          <w:b/>
          <w:bCs/>
          <w:color w:val="0F172A"/>
          <w:sz w:val="24"/>
          <w:szCs w:val="24"/>
        </w:rPr>
        <w:t xml:space="preserve">Figma design system</w:t>
      </w:r>
    </w:p>
    <w:p>
      <w:pPr>
        <w:pStyle w:val="ListParagraph"/>
        <w:numPr>
          <w:ilvl w:val="0"/>
          <w:numId w:val="1"/>
        </w:numPr>
        <w:spacing w:after="80"/>
      </w:pPr>
      <w:r>
        <w:rPr>
          <w:color w:val="101112"/>
          <w:sz w:val="22"/>
          <w:szCs w:val="22"/>
        </w:rPr>
        <w:t xml:space="preserve">All patterns are backed by a Figma component library (Intelligaia Agentic Design System).</w:t>
      </w:r>
    </w:p>
    <w:p>
      <w:pPr>
        <w:pStyle w:val="ListParagraph"/>
        <w:numPr>
          <w:ilvl w:val="0"/>
          <w:numId w:val="1"/>
        </w:numPr>
        <w:spacing w:after="80"/>
      </w:pPr>
      <w:r>
        <w:rPr>
          <w:color w:val="101112"/>
          <w:sz w:val="22"/>
          <w:szCs w:val="22"/>
        </w:rPr>
        <w:t xml:space="preserve">Components include all variant states (default, hover, focus, disabled), shapes, and sizes.</w:t>
      </w:r>
    </w:p>
    <w:p>
      <w:pPr>
        <w:pStyle w:val="ListParagraph"/>
        <w:numPr>
          <w:ilvl w:val="0"/>
          <w:numId w:val="1"/>
        </w:numPr>
        <w:spacing w:after="80"/>
      </w:pPr>
      <w:r>
        <w:rPr>
          <w:color w:val="101112"/>
          <w:sz w:val="22"/>
          <w:szCs w:val="22"/>
        </w:rPr>
        <w:t xml:space="preserve">Token structure: colour, typography, spacing, border-radius — all exposed via the MCP server.</w:t>
      </w:r>
    </w:p>
    <w:p>
      <w:pPr>
        <w:spacing w:after="120"/>
      </w:pPr>
      <w:r>
        <w:rPr>
          <w:color w:val="101112"/>
          <w:sz w:val="22"/>
          <w:szCs w:val="22"/>
        </w:rPr>
        <w:t xml:space="preserve"/>
      </w:r>
    </w:p>
    <w:p>
      <w:pPr>
        <w:pStyle w:val="Heading2"/>
        <w:spacing w:after="120" w:before="360"/>
      </w:pPr>
      <w:r>
        <w:rPr>
          <w:b/>
          <w:bCs/>
          <w:color w:val="101112"/>
          <w:sz w:val="28"/>
          <w:szCs w:val="28"/>
        </w:rPr>
        <w:t xml:space="preserve">5.2  Tools</w:t>
      </w:r>
    </w:p>
    <w:p>
      <w:pPr>
        <w:pStyle w:val="ListParagraph"/>
        <w:numPr>
          <w:ilvl w:val="0"/>
          <w:numId w:val="1"/>
        </w:numPr>
        <w:spacing w:after="80"/>
      </w:pPr>
      <w:r>
        <w:rPr>
          <w:b/>
          <w:bCs/>
          <w:color w:val="101112"/>
          <w:sz w:val="20"/>
          <w:szCs w:val="20"/>
        </w:rPr>
        <w:t xml:space="preserve">Pattern library (web): </w:t>
      </w:r>
      <w:r>
        <w:rPr>
          <w:color w:val="374151"/>
          <w:sz w:val="20"/>
          <w:szCs w:val="20"/>
        </w:rPr>
        <w:t xml:space="preserve">The static HTML/JS library at Library v0.3 — browsable without login.</w:t>
      </w:r>
    </w:p>
    <w:p>
      <w:pPr>
        <w:pStyle w:val="ListParagraph"/>
        <w:numPr>
          <w:ilvl w:val="0"/>
          <w:numId w:val="1"/>
        </w:numPr>
        <w:spacing w:after="80"/>
      </w:pPr>
      <w:r>
        <w:rPr>
          <w:b/>
          <w:bCs/>
          <w:color w:val="101112"/>
          <w:sz w:val="20"/>
          <w:szCs w:val="20"/>
        </w:rPr>
        <w:t xml:space="preserve">Lumen discovery agent: </w:t>
      </w:r>
      <w:r>
        <w:rPr>
          <w:color w:val="374151"/>
          <w:sz w:val="20"/>
          <w:szCs w:val="20"/>
        </w:rPr>
        <w:t xml:space="preserve">Conversational interface embedded in the library landing page.</w:t>
      </w:r>
    </w:p>
    <w:p>
      <w:pPr>
        <w:pStyle w:val="ListParagraph"/>
        <w:numPr>
          <w:ilvl w:val="0"/>
          <w:numId w:val="1"/>
        </w:numPr>
        <w:spacing w:after="80"/>
      </w:pPr>
      <w:r>
        <w:rPr>
          <w:b/>
          <w:bCs/>
          <w:color w:val="101112"/>
          <w:sz w:val="20"/>
          <w:szCs w:val="20"/>
        </w:rPr>
        <w:t xml:space="preserve">Immersive sandbox: </w:t>
      </w:r>
      <w:r>
        <w:rPr>
          <w:color w:val="374151"/>
          <w:sz w:val="20"/>
          <w:szCs w:val="20"/>
        </w:rPr>
        <w:t xml:space="preserve">Six-archetype interactive preview environment.</w:t>
      </w:r>
    </w:p>
    <w:p>
      <w:pPr>
        <w:pStyle w:val="ListParagraph"/>
        <w:numPr>
          <w:ilvl w:val="0"/>
          <w:numId w:val="1"/>
        </w:numPr>
        <w:spacing w:after="80"/>
      </w:pPr>
      <w:r>
        <w:rPr>
          <w:b/>
          <w:bCs/>
          <w:color w:val="101112"/>
          <w:sz w:val="20"/>
          <w:szCs w:val="20"/>
        </w:rPr>
        <w:t xml:space="preserve">Figma design system: </w:t>
      </w:r>
      <w:r>
        <w:rPr>
          <w:color w:val="374151"/>
          <w:sz w:val="20"/>
          <w:szCs w:val="20"/>
        </w:rPr>
        <w:t xml:space="preserve">Intelligaia Agentic Design System file — used by designers and the MCP server.</w:t>
      </w:r>
    </w:p>
    <w:p>
      <w:pPr>
        <w:pStyle w:val="ListParagraph"/>
        <w:numPr>
          <w:ilvl w:val="0"/>
          <w:numId w:val="1"/>
        </w:numPr>
        <w:spacing w:after="80"/>
      </w:pPr>
      <w:r>
        <w:rPr>
          <w:b/>
          <w:bCs/>
          <w:color w:val="101112"/>
          <w:sz w:val="20"/>
          <w:szCs w:val="20"/>
        </w:rPr>
        <w:t xml:space="preserve">MCP server: </w:t>
      </w:r>
      <w:r>
        <w:rPr>
          <w:color w:val="374151"/>
          <w:sz w:val="20"/>
          <w:szCs w:val="20"/>
        </w:rPr>
        <w:t xml:space="preserve">Model Context Protocol server exposing patterns, tokens, and code to AI tools.</w:t>
      </w:r>
    </w:p>
    <w:p>
      <w:pPr>
        <w:pStyle w:val="ListParagraph"/>
        <w:numPr>
          <w:ilvl w:val="0"/>
          <w:numId w:val="1"/>
        </w:numPr>
        <w:spacing w:after="80"/>
      </w:pPr>
      <w:r>
        <w:rPr>
          <w:b/>
          <w:bCs/>
          <w:color w:val="101112"/>
          <w:sz w:val="20"/>
          <w:szCs w:val="20"/>
        </w:rPr>
        <w:t xml:space="preserve">npm / pnpm registry: </w:t>
      </w:r>
      <w:r>
        <w:rPr>
          <w:color w:val="374151"/>
          <w:sz w:val="20"/>
          <w:szCs w:val="20"/>
        </w:rPr>
        <w:t xml:space="preserve">Package registry for Nucleux component installs (Path A).</w:t>
      </w:r>
    </w:p>
    <w:p>
      <w:pPr>
        <w:pStyle w:val="ListParagraph"/>
        <w:numPr>
          <w:ilvl w:val="0"/>
          <w:numId w:val="1"/>
        </w:numPr>
        <w:spacing w:after="80"/>
      </w:pPr>
      <w:r>
        <w:rPr>
          <w:b/>
          <w:bCs/>
          <w:color w:val="101112"/>
          <w:sz w:val="20"/>
          <w:szCs w:val="20"/>
        </w:rPr>
        <w:t xml:space="preserve">Claude / VS Code / Cursor: </w:t>
      </w:r>
      <w:r>
        <w:rPr>
          <w:color w:val="374151"/>
          <w:sz w:val="20"/>
          <w:szCs w:val="20"/>
        </w:rPr>
        <w:t xml:space="preserve">Supported AI development environments for Path B MCP integration.</w:t>
      </w:r>
    </w:p>
    <w:p>
      <w:pPr>
        <w:spacing w:after="120"/>
      </w:pPr>
      <w:r>
        <w:rPr>
          <w:color w:val="101112"/>
          <w:sz w:val="22"/>
          <w:szCs w:val="22"/>
        </w:rPr>
        <w:t xml:space="preserve"/>
      </w:r>
    </w:p>
    <w:p>
      <w:pPr>
        <w:pStyle w:val="Heading2"/>
        <w:spacing w:after="120" w:before="360"/>
      </w:pPr>
      <w:r>
        <w:rPr>
          <w:b/>
          <w:bCs/>
          <w:color w:val="101112"/>
          <w:sz w:val="28"/>
          <w:szCs w:val="28"/>
        </w:rPr>
        <w:t xml:space="preserve">5.3  Data</w:t>
      </w:r>
    </w:p>
    <w:p>
      <w:pPr>
        <w:pStyle w:val="ListParagraph"/>
        <w:numPr>
          <w:ilvl w:val="0"/>
          <w:numId w:val="1"/>
        </w:numPr>
        <w:spacing w:after="80"/>
      </w:pPr>
      <w:r>
        <w:rPr>
          <w:color w:val="101112"/>
          <w:sz w:val="22"/>
          <w:szCs w:val="22"/>
        </w:rPr>
        <w:t xml:space="preserve">Pattern definitions: id, name, oneline, what, why, when, how, variants, placements, composed primitives, code examples, related patterns.</w:t>
      </w:r>
    </w:p>
    <w:p>
      <w:pPr>
        <w:pStyle w:val="ListParagraph"/>
        <w:numPr>
          <w:ilvl w:val="0"/>
          <w:numId w:val="1"/>
        </w:numPr>
        <w:spacing w:after="80"/>
      </w:pPr>
      <w:r>
        <w:rPr>
          <w:color w:val="101112"/>
          <w:sz w:val="22"/>
          <w:szCs w:val="22"/>
        </w:rPr>
        <w:t xml:space="preserve">Design tokens: colour, typography, spacing, border-radius values — exported from the Figma design system.</w:t>
      </w:r>
    </w:p>
    <w:p>
      <w:pPr>
        <w:pStyle w:val="ListParagraph"/>
        <w:numPr>
          <w:ilvl w:val="0"/>
          <w:numId w:val="1"/>
        </w:numPr>
        <w:spacing w:after="80"/>
      </w:pPr>
      <w:r>
        <w:rPr>
          <w:color w:val="101112"/>
          <w:sz w:val="22"/>
          <w:szCs w:val="22"/>
        </w:rPr>
        <w:t xml:space="preserve">Figma component metadata: node IDs, variant properties, states, sizes — queried via the Figma MCP or Figma API.</w:t>
      </w:r>
    </w:p>
    <w:p>
      <w:pPr>
        <w:pStyle w:val="ListParagraph"/>
        <w:numPr>
          <w:ilvl w:val="0"/>
          <w:numId w:val="1"/>
        </w:numPr>
        <w:spacing w:after="80"/>
      </w:pPr>
      <w:r>
        <w:rPr>
          <w:color w:val="101112"/>
          <w:sz w:val="22"/>
          <w:szCs w:val="22"/>
        </w:rPr>
        <w:t xml:space="preserve">Persona profiles: four target archetypes with vocabulary signals, opening lines, recommended assets, and scenario arcs — stored in the discovery playbook and wired into global.js.</w:t>
      </w:r>
    </w:p>
    <w:p>
      <w:pPr>
        <w:pStyle w:val="ListParagraph"/>
        <w:numPr>
          <w:ilvl w:val="0"/>
          <w:numId w:val="1"/>
        </w:numPr>
        <w:spacing w:after="80"/>
      </w:pPr>
      <w:r>
        <w:rPr>
          <w:color w:val="101112"/>
          <w:sz w:val="22"/>
          <w:szCs w:val="22"/>
        </w:rPr>
        <w:t xml:space="preserve">Case studies: project write-ups with adoption and transformation framing, used by Lumen to qualify and convert prospects.</w:t>
      </w:r>
    </w:p>
    <w:p>
      <w:pPr>
        <w:pStyle w:val="ListParagraph"/>
        <w:numPr>
          <w:ilvl w:val="0"/>
          <w:numId w:val="1"/>
        </w:numPr>
        <w:spacing w:after="80"/>
      </w:pPr>
      <w:r>
        <w:rPr>
          <w:color w:val="101112"/>
          <w:sz w:val="22"/>
          <w:szCs w:val="22"/>
        </w:rPr>
        <w:t xml:space="preserve">Conversation context: persona detected, scenario active, patterns viewed, sandbox archetype selected — used by Lumen for scenario-lock and contact form prefill.</w:t>
      </w:r>
    </w:p>
    <w:p>
      <w:pPr>
        <w:spacing w:after="120"/>
      </w:pPr>
      <w:r>
        <w:rPr>
          <w:color w:val="101112"/>
          <w:sz w:val="22"/>
          <w:szCs w:val="22"/>
        </w:rPr>
        <w:t xml:space="preserve"/>
      </w:r>
    </w:p>
    <w:p>
      <w:pPr>
        <w:pStyle w:val="Heading2"/>
        <w:spacing w:after="120" w:before="360"/>
      </w:pPr>
      <w:r>
        <w:rPr>
          <w:b/>
          <w:bCs/>
          <w:color w:val="101112"/>
          <w:sz w:val="28"/>
          <w:szCs w:val="28"/>
        </w:rPr>
        <w:t xml:space="preserve">5.4  Permissions</w:t>
      </w:r>
    </w:p>
    <w:p>
      <w:pPr>
        <w:spacing w:after="120"/>
        <w:jc w:val="both"/>
      </w:pPr>
      <w:r>
        <w:rPr>
          <w:color w:val="101112"/>
          <w:sz w:val="22"/>
          <w:szCs w:val="22"/>
        </w:rPr>
        <w:t xml:space="preserve">Nucleux's pattern library and Lumen agent are publicly accessible — no authentication is required to browse patterns, use the sandbox, or interact with Lumen. The MCP server, however, requires configuration inside the developer's AI environment.</w:t>
      </w:r>
    </w:p>
    <w:p>
      <w:pPr>
        <w:pStyle w:val="ListParagraph"/>
        <w:numPr>
          <w:ilvl w:val="0"/>
          <w:numId w:val="1"/>
        </w:numPr>
        <w:spacing w:after="80"/>
      </w:pPr>
      <w:r>
        <w:rPr>
          <w:color w:val="101112"/>
          <w:sz w:val="22"/>
          <w:szCs w:val="22"/>
        </w:rPr>
        <w:t xml:space="preserve">Pattern library (web): public, no login.</w:t>
      </w:r>
    </w:p>
    <w:p>
      <w:pPr>
        <w:pStyle w:val="ListParagraph"/>
        <w:numPr>
          <w:ilvl w:val="0"/>
          <w:numId w:val="1"/>
        </w:numPr>
        <w:spacing w:after="80"/>
      </w:pPr>
      <w:r>
        <w:rPr>
          <w:color w:val="101112"/>
          <w:sz w:val="22"/>
          <w:szCs w:val="22"/>
        </w:rPr>
        <w:t xml:space="preserve">Lumen discovery agent: public, no login.</w:t>
      </w:r>
    </w:p>
    <w:p>
      <w:pPr>
        <w:pStyle w:val="ListParagraph"/>
        <w:numPr>
          <w:ilvl w:val="0"/>
          <w:numId w:val="1"/>
        </w:numPr>
        <w:spacing w:after="80"/>
      </w:pPr>
      <w:r>
        <w:rPr>
          <w:color w:val="101112"/>
          <w:sz w:val="22"/>
          <w:szCs w:val="22"/>
        </w:rPr>
        <w:t xml:space="preserve">Immersive sandbox: public, no login.</w:t>
      </w:r>
    </w:p>
    <w:p>
      <w:pPr>
        <w:pStyle w:val="ListParagraph"/>
        <w:numPr>
          <w:ilvl w:val="0"/>
          <w:numId w:val="1"/>
        </w:numPr>
        <w:spacing w:after="80"/>
      </w:pPr>
      <w:r>
        <w:rPr>
          <w:color w:val="101112"/>
          <w:sz w:val="22"/>
          <w:szCs w:val="22"/>
        </w:rPr>
        <w:t xml:space="preserve">MCP server: requires explicit MCP configuration in Claude, VS Code, Cursor, or another supported AI tool — the developer controls when and how the server is connected.</w:t>
      </w:r>
    </w:p>
    <w:p>
      <w:pPr>
        <w:pStyle w:val="ListParagraph"/>
        <w:numPr>
          <w:ilvl w:val="0"/>
          <w:numId w:val="1"/>
        </w:numPr>
        <w:spacing w:after="80"/>
      </w:pPr>
      <w:r>
        <w:rPr>
          <w:color w:val="101112"/>
          <w:sz w:val="22"/>
          <w:szCs w:val="22"/>
        </w:rPr>
        <w:t xml:space="preserve">Figma design system: requires Figma account and view access to the Intelligaia Agentic Design System file.</w:t>
      </w:r>
    </w:p>
    <w:p>
      <w:pPr>
        <w:pStyle w:val="ListParagraph"/>
        <w:numPr>
          <w:ilvl w:val="0"/>
          <w:numId w:val="1"/>
        </w:numPr>
        <w:spacing w:after="80"/>
      </w:pPr>
      <w:r>
        <w:rPr>
          <w:color w:val="101112"/>
          <w:sz w:val="22"/>
          <w:szCs w:val="22"/>
        </w:rPr>
        <w:t xml:space="preserve">npm / pnpm packages: requires a package manager and internet access; no authentication for public packages.</w:t>
      </w:r>
    </w:p>
    <w:p>
      <w:pPr>
        <w:spacing w:after="120"/>
      </w:pPr>
      <w:r>
        <w:rPr>
          <w:color w:val="101112"/>
          <w:sz w:val="22"/>
          <w:szCs w:val="22"/>
        </w:rPr>
        <w:t xml:space="preserve"/>
      </w:r>
    </w:p>
    <w:p>
      <w:pPr>
        <w:pStyle w:val="Heading2"/>
        <w:spacing w:after="120" w:before="360"/>
      </w:pPr>
      <w:r>
        <w:rPr>
          <w:b/>
          <w:bCs/>
          <w:color w:val="101112"/>
          <w:sz w:val="28"/>
          <w:szCs w:val="28"/>
        </w:rPr>
        <w:t xml:space="preserve">5.5  Human Controls</w:t>
      </w:r>
    </w:p>
    <w:p>
      <w:pPr>
        <w:spacing w:after="120"/>
        <w:jc w:val="both"/>
      </w:pPr>
      <w:r>
        <w:rPr>
          <w:color w:val="101112"/>
          <w:sz w:val="22"/>
          <w:szCs w:val="22"/>
        </w:rPr>
        <w:t xml:space="preserve">Nucleux embeds several human control points into the patterns themselves. These are not features of the library shell — they are patterns that product teams implement in their own agentic products, using Nucleux as the reference.</w:t>
      </w:r>
    </w:p>
    <w:p>
      <w:pPr>
        <w:pStyle w:val="ListParagraph"/>
        <w:numPr>
          <w:ilvl w:val="0"/>
          <w:numId w:val="1"/>
        </w:numPr>
        <w:spacing w:after="80"/>
      </w:pPr>
      <w:r>
        <w:rPr>
          <w:color w:val="101112"/>
          <w:sz w:val="22"/>
          <w:szCs w:val="22"/>
        </w:rPr>
        <w:t xml:space="preserve">Disclosure: a persistent label on every AI-touched interaction; non-dismissable on first run.</w:t>
      </w:r>
    </w:p>
    <w:p>
      <w:pPr>
        <w:pStyle w:val="ListParagraph"/>
        <w:numPr>
          <w:ilvl w:val="0"/>
          <w:numId w:val="1"/>
        </w:numPr>
        <w:spacing w:after="80"/>
      </w:pPr>
      <w:r>
        <w:rPr>
          <w:color w:val="101112"/>
          <w:sz w:val="22"/>
          <w:szCs w:val="22"/>
        </w:rPr>
        <w:t xml:space="preserve">Consent: a blocking first-run permission flow that requires the user to grant or deny data use before the agent can process anything.</w:t>
      </w:r>
    </w:p>
    <w:p>
      <w:pPr>
        <w:pStyle w:val="ListParagraph"/>
        <w:numPr>
          <w:ilvl w:val="0"/>
          <w:numId w:val="1"/>
        </w:numPr>
        <w:spacing w:after="80"/>
      </w:pPr>
      <w:r>
        <w:rPr>
          <w:color w:val="101112"/>
          <w:sz w:val="22"/>
          <w:szCs w:val="22"/>
        </w:rPr>
        <w:t xml:space="preserve">Stop controls: affordances for the user to halt, pause, or roll back an agent action mid-execution.</w:t>
      </w:r>
    </w:p>
    <w:p>
      <w:pPr>
        <w:pStyle w:val="ListParagraph"/>
        <w:numPr>
          <w:ilvl w:val="0"/>
          <w:numId w:val="1"/>
        </w:numPr>
        <w:spacing w:after="80"/>
      </w:pPr>
      <w:r>
        <w:rPr>
          <w:color w:val="101112"/>
          <w:sz w:val="22"/>
          <w:szCs w:val="22"/>
        </w:rPr>
        <w:t xml:space="preserve">Verification: a human-approval gate before the agent takes any irreversible action.</w:t>
      </w:r>
    </w:p>
    <w:p>
      <w:pPr>
        <w:pStyle w:val="ListParagraph"/>
        <w:numPr>
          <w:ilvl w:val="0"/>
          <w:numId w:val="1"/>
        </w:numPr>
        <w:spacing w:after="80"/>
      </w:pPr>
      <w:r>
        <w:rPr>
          <w:color w:val="101112"/>
          <w:sz w:val="22"/>
          <w:szCs w:val="22"/>
        </w:rPr>
        <w:t xml:space="preserve">Data ownership: explicit opt-out from training and data retention, with revocation available at any time.</w:t>
      </w:r>
    </w:p>
    <w:p>
      <w:pPr>
        <w:pStyle w:val="ListParagraph"/>
        <w:numPr>
          <w:ilvl w:val="0"/>
          <w:numId w:val="1"/>
        </w:numPr>
        <w:spacing w:after="80"/>
      </w:pPr>
      <w:r>
        <w:rPr>
          <w:color w:val="101112"/>
          <w:sz w:val="22"/>
          <w:szCs w:val="22"/>
        </w:rPr>
        <w:t xml:space="preserve">Footprints: a transparent log of every tool call and action taken by the agent, surfaced to the user on demand.</w:t>
      </w:r>
    </w:p>
    <w:p>
      <w:pPr>
        <w:pStyle w:val="ListParagraph"/>
        <w:numPr>
          <w:ilvl w:val="0"/>
          <w:numId w:val="1"/>
        </w:numPr>
        <w:spacing w:after="80"/>
      </w:pPr>
      <w:r>
        <w:rPr>
          <w:color w:val="101112"/>
          <w:sz w:val="22"/>
          <w:szCs w:val="22"/>
        </w:rPr>
        <w:t xml:space="preserve">Action plan: a pre-approval summary of what the agent will do, shown before execution begins.</w:t>
      </w:r>
    </w:p>
    <w:p>
      <w:pPr>
        <w:pStyle w:val="ListParagraph"/>
        <w:numPr>
          <w:ilvl w:val="0"/>
          <w:numId w:val="1"/>
        </w:numPr>
        <w:spacing w:after="80"/>
      </w:pPr>
      <w:r>
        <w:rPr>
          <w:color w:val="101112"/>
          <w:sz w:val="22"/>
          <w:szCs w:val="22"/>
        </w:rPr>
        <w:t xml:space="preserve">Cost estimates: upfront display of token cost, time, or other resource consumption before the user confirms.</w:t>
      </w:r>
    </w:p>
    <w:p>
      <w:pPr>
        <w:pStyle w:val="ListParagraph"/>
        <w:numPr>
          <w:ilvl w:val="0"/>
          <w:numId w:val="1"/>
        </w:numPr>
        <w:spacing w:after="80"/>
      </w:pPr>
      <w:r>
        <w:rPr>
          <w:color w:val="101112"/>
          <w:sz w:val="22"/>
          <w:szCs w:val="22"/>
        </w:rPr>
        <w:t xml:space="preserve">Caveat: a persistent note that the agent may make mistakes, prompting users to verify important outputs.</w:t>
      </w:r>
    </w:p>
    <w:p>
      <w:pPr>
        <w:spacing w:after="200"/>
      </w:pPr>
      <w:r>
        <w:rPr>
          <w:color w:val="101112"/>
          <w:sz w:val="22"/>
          <w:szCs w:val="22"/>
        </w:rPr>
        <w:t xml:space="preserve"/>
      </w:r>
    </w:p>
    <w:p>
      <w:pPr>
        <w:pBdr>
          <w:bottom w:val="single" w:color="E2E8F0" w:sz="2"/>
        </w:pBdr>
        <w:spacing w:after="200" w:before="200"/>
      </w:pPr>
    </w:p>
    <w:p>
      <w:r>
        <w:br w:type="page"/>
      </w:r>
    </w:p>
    <w:p>
      <w:pPr>
        <w:pStyle w:val="Heading1"/>
        <w:pBdr>
          <w:bottom w:val="single" w:color="F5C518" w:sz="4" w:space="6"/>
        </w:pBdr>
        <w:spacing w:after="160" w:before="400"/>
      </w:pPr>
      <w:r>
        <w:rPr>
          <w:b/>
          <w:bCs/>
          <w:color w:val="101112"/>
          <w:sz w:val="36"/>
          <w:szCs w:val="36"/>
        </w:rPr>
        <w:t xml:space="preserve">06  Path A — Manual Implementation</w:t>
      </w:r>
    </w:p>
    <w:p>
      <w:pPr>
        <w:spacing w:after="120"/>
        <w:jc w:val="both"/>
      </w:pPr>
      <w:r>
        <w:rPr>
          <w:color w:val="101112"/>
          <w:sz w:val="22"/>
          <w:szCs w:val="22"/>
        </w:rPr>
        <w:t xml:space="preserve">Path A is the self-directed implementation route. A designer or developer browses the Nucleux pattern library, identifies the patterns they need, installs the package, and assembles their agentic experience using the documented components, tokens, and code examples.</w:t>
      </w:r>
    </w:p>
    <w:p>
      <w:pPr>
        <w:spacing w:after="120"/>
      </w:pPr>
      <w:r>
        <w:rPr>
          <w:color w:val="101112"/>
          <w:sz w:val="22"/>
          <w:szCs w:val="22"/>
        </w:rPr>
        <w:t xml:space="preserve"/>
      </w:r>
    </w:p>
    <w:p>
      <w:pPr>
        <w:pStyle w:val="Heading3"/>
        <w:spacing w:after="80" w:before="280"/>
      </w:pPr>
      <w:r>
        <w:rPr>
          <w:b/>
          <w:bCs/>
          <w:color w:val="0F172A"/>
          <w:sz w:val="24"/>
          <w:szCs w:val="24"/>
        </w:rPr>
        <w:t xml:space="preserve">Step 1  Browse documentation</w:t>
      </w:r>
    </w:p>
    <w:p>
      <w:pPr>
        <w:spacing w:after="120"/>
        <w:jc w:val="both"/>
      </w:pPr>
      <w:r>
        <w:rPr>
          <w:color w:val="101112"/>
          <w:sz w:val="22"/>
          <w:szCs w:val="22"/>
        </w:rPr>
        <w:t xml:space="preserve">Open the Nucleux pattern library at the library URL. Navigate the four lifecycle stages — Onboarding, Initially, During Interaction, Over Time — and their 21 sub-categories. Each pattern detail page provides: a one-line definition, what the pattern is, why it matters, when to use it, how to implement it, code examples, all variants, and in-context placements across six product archetypes.</w:t>
      </w:r>
    </w:p>
    <w:p>
      <w:pPr>
        <w:pStyle w:val="ListParagraph"/>
        <w:numPr>
          <w:ilvl w:val="0"/>
          <w:numId w:val="1"/>
        </w:numPr>
        <w:spacing w:after="80"/>
      </w:pPr>
      <w:r>
        <w:rPr>
          <w:color w:val="101112"/>
          <w:sz w:val="22"/>
          <w:szCs w:val="22"/>
        </w:rPr>
        <w:t xml:space="preserve">Use the sidebar tree to navigate by stage and sub-category.</w:t>
      </w:r>
    </w:p>
    <w:p>
      <w:pPr>
        <w:pStyle w:val="ListParagraph"/>
        <w:numPr>
          <w:ilvl w:val="0"/>
          <w:numId w:val="1"/>
        </w:numPr>
        <w:spacing w:after="80"/>
      </w:pPr>
      <w:r>
        <w:rPr>
          <w:color w:val="101112"/>
          <w:sz w:val="22"/>
          <w:szCs w:val="22"/>
        </w:rPr>
        <w:t xml:space="preserve">Open individual pattern pages via direct URL (pattern.html?id=&lt;patternId&gt;) — links are shareable and browser-back works.</w:t>
      </w:r>
    </w:p>
    <w:p>
      <w:pPr>
        <w:pStyle w:val="ListParagraph"/>
        <w:numPr>
          <w:ilvl w:val="0"/>
          <w:numId w:val="1"/>
        </w:numPr>
        <w:spacing w:after="80"/>
      </w:pPr>
      <w:r>
        <w:rPr>
          <w:color w:val="101112"/>
          <w:sz w:val="22"/>
          <w:szCs w:val="22"/>
        </w:rPr>
        <w:t xml:space="preserve">Use the immersive sandbox to see each pattern rendered in your target product archetype (chat, right-rail, canvas, code editor, video, email) before committing to an implementation.</w:t>
      </w:r>
    </w:p>
    <w:p>
      <w:pPr>
        <w:pStyle w:val="ListParagraph"/>
        <w:numPr>
          <w:ilvl w:val="0"/>
          <w:numId w:val="1"/>
        </w:numPr>
        <w:spacing w:after="80"/>
      </w:pPr>
      <w:r>
        <w:rPr>
          <w:color w:val="101112"/>
          <w:sz w:val="22"/>
          <w:szCs w:val="22"/>
        </w:rPr>
        <w:t xml:space="preserve">Consult the "related patterns" section on each page to discover complementary patterns — for example, Disclosure is related to Consent, Caveat, and Watermark.</w:t>
      </w:r>
    </w:p>
    <w:p>
      <w:pPr>
        <w:pStyle w:val="ListParagraph"/>
        <w:numPr>
          <w:ilvl w:val="0"/>
          <w:numId w:val="1"/>
        </w:numPr>
        <w:spacing w:after="80"/>
      </w:pPr>
      <w:r>
        <w:rPr>
          <w:color w:val="101112"/>
          <w:sz w:val="22"/>
          <w:szCs w:val="22"/>
        </w:rPr>
        <w:t xml:space="preserve">Review the "composed" field on each pattern to understand which Figma primitives (Badge, Alert, Avatar, Tooltip, etc.) make up the component, so your design and engineering vocabularies stay aligned.</w:t>
      </w:r>
    </w:p>
    <w:p>
      <w:pPr>
        <w:spacing w:after="120"/>
      </w:pPr>
      <w:r>
        <w:rPr>
          <w:color w:val="101112"/>
          <w:sz w:val="22"/>
          <w:szCs w:val="22"/>
        </w:rPr>
        <w:t xml:space="preserve"/>
      </w:r>
    </w:p>
    <w:p>
      <w:pPr>
        <w:pStyle w:val="Heading3"/>
        <w:spacing w:after="80" w:before="280"/>
      </w:pPr>
      <w:r>
        <w:rPr>
          <w:b/>
          <w:bCs/>
          <w:color w:val="0F172A"/>
          <w:sz w:val="24"/>
          <w:szCs w:val="24"/>
        </w:rPr>
        <w:t xml:space="preserve">Step 2  Install Nucleux using npm or pnpm</w:t>
      </w:r>
    </w:p>
    <w:p>
      <w:pPr>
        <w:spacing w:after="120"/>
        <w:jc w:val="both"/>
      </w:pPr>
      <w:r>
        <w:rPr>
          <w:color w:val="101112"/>
          <w:sz w:val="22"/>
          <w:szCs w:val="22"/>
        </w:rPr>
        <w:t xml:space="preserve">Add the Nucleux package to your project using your preferred package manager. The package ships the full component library, design tokens, and all documented pattern variants as implementation-ready code.</w:t>
      </w:r>
    </w:p>
    <w:p>
      <w:pPr>
        <w:shd w:fill="F1F5F9" w:val="clear"/>
        <w:spacing w:after="60"/>
        <w:ind w:left="431"/>
      </w:pPr>
      <w:r>
        <w:rPr>
          <w:rFonts w:ascii="Courier New" w:cs="Courier New" w:eastAsia="Courier New" w:hAnsi="Courier New"/>
          <w:color w:val="059669"/>
          <w:sz w:val="18"/>
          <w:szCs w:val="18"/>
        </w:rPr>
        <w:t xml:space="preserve">npm install @intelligaia/nucleux</w:t>
      </w:r>
      <w:r>
        <w:rPr>
          <w:color w:val="6B7280"/>
          <w:sz w:val="20"/>
          <w:szCs w:val="20"/>
        </w:rPr>
        <w:t xml:space="preserve">  or</w:t>
      </w:r>
    </w:p>
    <w:p>
      <w:pPr>
        <w:shd w:fill="F1F5F9" w:val="clear"/>
        <w:spacing w:after="120"/>
        <w:ind w:left="431"/>
      </w:pPr>
      <w:r>
        <w:rPr>
          <w:rFonts w:ascii="Courier New" w:cs="Courier New" w:eastAsia="Courier New" w:hAnsi="Courier New"/>
          <w:color w:val="059669"/>
          <w:sz w:val="18"/>
          <w:szCs w:val="18"/>
        </w:rPr>
        <w:t xml:space="preserve">pnpm add @intelligaia/nucleux</w:t>
      </w:r>
    </w:p>
    <w:p>
      <w:pPr>
        <w:pStyle w:val="ListParagraph"/>
        <w:numPr>
          <w:ilvl w:val="0"/>
          <w:numId w:val="1"/>
        </w:numPr>
        <w:spacing w:after="80"/>
      </w:pPr>
      <w:r>
        <w:rPr>
          <w:color w:val="101112"/>
          <w:sz w:val="22"/>
          <w:szCs w:val="22"/>
        </w:rPr>
        <w:t xml:space="preserve">Nucleux requires no build step for the pattern library shell itself (the documentation site is static HTML/JS).</w:t>
      </w:r>
    </w:p>
    <w:p>
      <w:pPr>
        <w:pStyle w:val="ListParagraph"/>
        <w:numPr>
          <w:ilvl w:val="0"/>
          <w:numId w:val="1"/>
        </w:numPr>
        <w:spacing w:after="80"/>
      </w:pPr>
      <w:r>
        <w:rPr>
          <w:color w:val="101112"/>
          <w:sz w:val="22"/>
          <w:szCs w:val="22"/>
        </w:rPr>
        <w:t xml:space="preserve">Component packages ship with TypeScript type definitions and framework-agnostic CSS tokens.</w:t>
      </w:r>
    </w:p>
    <w:p>
      <w:pPr>
        <w:pStyle w:val="ListParagraph"/>
        <w:numPr>
          <w:ilvl w:val="0"/>
          <w:numId w:val="1"/>
        </w:numPr>
        <w:spacing w:after="80"/>
      </w:pPr>
      <w:r>
        <w:rPr>
          <w:color w:val="101112"/>
          <w:sz w:val="22"/>
          <w:szCs w:val="22"/>
        </w:rPr>
        <w:t xml:space="preserve">Verify the install by importing a component and confirming it renders in your development environment before proceeding.</w:t>
      </w:r>
    </w:p>
    <w:p>
      <w:pPr>
        <w:spacing w:after="120"/>
      </w:pPr>
      <w:r>
        <w:rPr>
          <w:color w:val="101112"/>
          <w:sz w:val="22"/>
          <w:szCs w:val="22"/>
        </w:rPr>
        <w:t xml:space="preserve"/>
      </w:r>
    </w:p>
    <w:p>
      <w:pPr>
        <w:pStyle w:val="Heading3"/>
        <w:spacing w:after="80" w:before="280"/>
      </w:pPr>
      <w:r>
        <w:rPr>
          <w:b/>
          <w:bCs/>
          <w:color w:val="0F172A"/>
          <w:sz w:val="24"/>
          <w:szCs w:val="24"/>
        </w:rPr>
        <w:t xml:space="preserve">Step 3  Import components and patterns</w:t>
      </w:r>
    </w:p>
    <w:p>
      <w:pPr>
        <w:spacing w:after="120"/>
        <w:jc w:val="both"/>
      </w:pPr>
      <w:r>
        <w:rPr>
          <w:color w:val="101112"/>
          <w:sz w:val="22"/>
          <w:szCs w:val="22"/>
        </w:rPr>
        <w:t xml:space="preserve">Import the specific components and patterns your feature requires. Each pattern in the documentation lists its composed primitives — these map directly to named exports in the Nucleux package.</w:t>
      </w:r>
    </w:p>
    <w:p>
      <w:pPr>
        <w:shd w:fill="F1F5F9" w:val="clear"/>
        <w:spacing w:after="120"/>
        <w:ind w:left="431"/>
      </w:pPr>
      <w:r>
        <w:rPr>
          <w:rFonts w:ascii="Courier New" w:cs="Courier New" w:eastAsia="Courier New" w:hAnsi="Courier New"/>
          <w:color w:val="059669"/>
          <w:sz w:val="18"/>
          <w:szCs w:val="18"/>
        </w:rPr>
        <w:t xml:space="preserve">import { Disclosure, Consent, ActionPlan } from '@intelligaia/nucleux';</w:t>
      </w:r>
    </w:p>
    <w:p>
      <w:pPr>
        <w:pStyle w:val="ListParagraph"/>
        <w:numPr>
          <w:ilvl w:val="0"/>
          <w:numId w:val="1"/>
        </w:numPr>
        <w:spacing w:after="80"/>
      </w:pPr>
      <w:r>
        <w:rPr>
          <w:color w:val="101112"/>
          <w:sz w:val="22"/>
          <w:szCs w:val="22"/>
        </w:rPr>
        <w:t xml:space="preserve">Import only the patterns you need — the package supports tree-shaking.</w:t>
      </w:r>
    </w:p>
    <w:p>
      <w:pPr>
        <w:pStyle w:val="ListParagraph"/>
        <w:numPr>
          <w:ilvl w:val="0"/>
          <w:numId w:val="1"/>
        </w:numPr>
        <w:spacing w:after="80"/>
      </w:pPr>
      <w:r>
        <w:rPr>
          <w:color w:val="101112"/>
          <w:sz w:val="22"/>
          <w:szCs w:val="22"/>
        </w:rPr>
        <w:t xml:space="preserve">Each pattern exports its full variant set; select the variant appropriate to your surface (e.g., header-badge vs. first-run-banner for Disclosure).</w:t>
      </w:r>
    </w:p>
    <w:p>
      <w:pPr>
        <w:pStyle w:val="ListParagraph"/>
        <w:numPr>
          <w:ilvl w:val="0"/>
          <w:numId w:val="1"/>
        </w:numPr>
        <w:spacing w:after="80"/>
      </w:pPr>
      <w:r>
        <w:rPr>
          <w:color w:val="101112"/>
          <w:sz w:val="22"/>
          <w:szCs w:val="22"/>
        </w:rPr>
        <w:t xml:space="preserve">Consult the "placements" section of each pattern page to confirm which variant is recommended for your target surface archetype.</w:t>
      </w:r>
    </w:p>
    <w:p>
      <w:pPr>
        <w:pStyle w:val="ListParagraph"/>
        <w:numPr>
          <w:ilvl w:val="0"/>
          <w:numId w:val="1"/>
        </w:numPr>
        <w:spacing w:after="80"/>
      </w:pPr>
      <w:r>
        <w:rPr>
          <w:color w:val="101112"/>
          <w:sz w:val="22"/>
          <w:szCs w:val="22"/>
        </w:rPr>
        <w:t xml:space="preserve">For patterns that require JavaScript interaction (e.g., Stop Controls, Cost Estimates, Streaming), import the accompanying controller or hook alongside the component.</w:t>
      </w:r>
    </w:p>
    <w:p>
      <w:pPr>
        <w:spacing w:after="120"/>
      </w:pPr>
      <w:r>
        <w:rPr>
          <w:color w:val="101112"/>
          <w:sz w:val="22"/>
          <w:szCs w:val="22"/>
        </w:rPr>
        <w:t xml:space="preserve"/>
      </w:r>
    </w:p>
    <w:p>
      <w:pPr>
        <w:pStyle w:val="Heading3"/>
        <w:spacing w:after="80" w:before="280"/>
      </w:pPr>
      <w:r>
        <w:rPr>
          <w:b/>
          <w:bCs/>
          <w:color w:val="0F172A"/>
          <w:sz w:val="24"/>
          <w:szCs w:val="24"/>
        </w:rPr>
        <w:t xml:space="preserve">Step 4  Configure themes and design tokens</w:t>
      </w:r>
    </w:p>
    <w:p>
      <w:pPr>
        <w:spacing w:after="120"/>
        <w:jc w:val="both"/>
      </w:pPr>
      <w:r>
        <w:rPr>
          <w:color w:val="101112"/>
          <w:sz w:val="22"/>
          <w:szCs w:val="22"/>
        </w:rPr>
        <w:t xml:space="preserve">Nucleux uses a CSS custom property token system. Override the default tokens to align the component library with your product's brand and design system.</w:t>
      </w:r>
    </w:p>
    <w:p>
      <w:pPr>
        <w:pStyle w:val="ListParagraph"/>
        <w:numPr>
          <w:ilvl w:val="0"/>
          <w:numId w:val="1"/>
        </w:numPr>
        <w:spacing w:after="80"/>
      </w:pPr>
      <w:r>
        <w:rPr>
          <w:color w:val="101112"/>
          <w:sz w:val="22"/>
          <w:szCs w:val="22"/>
        </w:rPr>
        <w:t xml:space="preserve">Core tokens: --border, --border-strong, --fg, --fg-mid, --fg-muted, --ink-25, --ink-950, --surface, --accent.</w:t>
      </w:r>
    </w:p>
    <w:p>
      <w:pPr>
        <w:pStyle w:val="ListParagraph"/>
        <w:numPr>
          <w:ilvl w:val="0"/>
          <w:numId w:val="1"/>
        </w:numPr>
        <w:spacing w:after="80"/>
      </w:pPr>
      <w:r>
        <w:rPr>
          <w:color w:val="101112"/>
          <w:sz w:val="22"/>
          <w:szCs w:val="22"/>
        </w:rPr>
        <w:t xml:space="preserve">Set tokens at the :root level (or inside your agent surface's wrapper element for scoped theming) in your global stylesheet.</w:t>
      </w:r>
    </w:p>
    <w:p>
      <w:pPr>
        <w:pStyle w:val="ListParagraph"/>
        <w:numPr>
          <w:ilvl w:val="0"/>
          <w:numId w:val="1"/>
        </w:numPr>
        <w:spacing w:after="80"/>
      </w:pPr>
      <w:r>
        <w:rPr>
          <w:color w:val="101112"/>
          <w:sz w:val="22"/>
          <w:szCs w:val="22"/>
        </w:rPr>
        <w:t xml:space="preserve">Typography tokens: the library defaults to the Inter type family. Override --font-sans, --font-mono, and --t-display-* scale variables to match your product's type system.</w:t>
      </w:r>
    </w:p>
    <w:p>
      <w:pPr>
        <w:pStyle w:val="ListParagraph"/>
        <w:numPr>
          <w:ilvl w:val="0"/>
          <w:numId w:val="1"/>
        </w:numPr>
        <w:spacing w:after="80"/>
      </w:pPr>
      <w:r>
        <w:rPr>
          <w:color w:val="101112"/>
          <w:sz w:val="22"/>
          <w:szCs w:val="22"/>
        </w:rPr>
        <w:t xml:space="preserve">Spacing tokens: the library uses a --s-* scale (--s-4 through --s-16). These can be remapped to your spacing grid.</w:t>
      </w:r>
    </w:p>
    <w:p>
      <w:pPr>
        <w:pStyle w:val="ListParagraph"/>
        <w:numPr>
          <w:ilvl w:val="0"/>
          <w:numId w:val="1"/>
        </w:numPr>
        <w:spacing w:after="80"/>
      </w:pPr>
      <w:r>
        <w:rPr>
          <w:color w:val="101112"/>
          <w:sz w:val="22"/>
          <w:szCs w:val="22"/>
        </w:rPr>
        <w:t xml:space="preserve">Verify that your token overrides pass the contrast requirements embedded in the trust patterns (Disclosure, Consent, Caveat) — these patterns have accessibility-critical colour contracts.</w:t>
      </w:r>
    </w:p>
    <w:p>
      <w:pPr>
        <w:pStyle w:val="ListParagraph"/>
        <w:numPr>
          <w:ilvl w:val="0"/>
          <w:numId w:val="1"/>
        </w:numPr>
        <w:spacing w:after="80"/>
      </w:pPr>
      <w:r>
        <w:rPr>
          <w:color w:val="101112"/>
          <w:sz w:val="22"/>
          <w:szCs w:val="22"/>
        </w:rPr>
        <w:t xml:space="preserve">For incognito or dark-mode surfaces, apply the --incog modifier class to the input bar wrapper; all child elements inherit the dark token set automatically.</w:t>
      </w:r>
    </w:p>
    <w:p>
      <w:pPr>
        <w:spacing w:after="120"/>
      </w:pPr>
      <w:r>
        <w:rPr>
          <w:color w:val="101112"/>
          <w:sz w:val="22"/>
          <w:szCs w:val="22"/>
        </w:rPr>
        <w:t xml:space="preserve"/>
      </w:r>
    </w:p>
    <w:p>
      <w:pPr>
        <w:pStyle w:val="Heading3"/>
        <w:spacing w:after="80" w:before="280"/>
      </w:pPr>
      <w:r>
        <w:rPr>
          <w:b/>
          <w:bCs/>
          <w:color w:val="0F172A"/>
          <w:sz w:val="24"/>
          <w:szCs w:val="24"/>
        </w:rPr>
        <w:t xml:space="preserve">Step 5  Assemble the application experience</w:t>
      </w:r>
    </w:p>
    <w:p>
      <w:pPr>
        <w:spacing w:after="120"/>
        <w:jc w:val="both"/>
      </w:pPr>
      <w:r>
        <w:rPr>
          <w:color w:val="101112"/>
          <w:sz w:val="22"/>
          <w:szCs w:val="22"/>
        </w:rPr>
        <w:t xml:space="preserve">Compose the imported patterns into your application layout, following the stage sequence: establish trust patterns first (Onboarding stage), then the initial interaction surface (Initially stage), then the in-conversation patterns (During Interaction stage), and finally the persistent and longitudinal patterns (Over Time stage).</w:t>
      </w:r>
    </w:p>
    <w:p>
      <w:pPr>
        <w:pStyle w:val="ListParagraph"/>
        <w:numPr>
          <w:ilvl w:val="0"/>
          <w:numId w:val="1"/>
        </w:numPr>
        <w:spacing w:after="80"/>
      </w:pPr>
      <w:r>
        <w:rPr>
          <w:color w:val="101112"/>
          <w:sz w:val="22"/>
          <w:szCs w:val="22"/>
        </w:rPr>
        <w:t xml:space="preserve">Onboarding first: always implement Disclosure and Consent before any other pattern. These are the ethical and legal contract between the agent and the user — every subsequent pattern depends on them.</w:t>
      </w:r>
    </w:p>
    <w:p>
      <w:pPr>
        <w:pStyle w:val="ListParagraph"/>
        <w:numPr>
          <w:ilvl w:val="0"/>
          <w:numId w:val="1"/>
        </w:numPr>
        <w:spacing w:after="80"/>
      </w:pPr>
      <w:r>
        <w:rPr>
          <w:color w:val="101112"/>
          <w:sz w:val="22"/>
          <w:szCs w:val="22"/>
        </w:rPr>
        <w:t xml:space="preserve">Use the pattern's "when" field to confirm the correct trigger point for each pattern in your user flow.</w:t>
      </w:r>
    </w:p>
    <w:p>
      <w:pPr>
        <w:pStyle w:val="ListParagraph"/>
        <w:numPr>
          <w:ilvl w:val="0"/>
          <w:numId w:val="1"/>
        </w:numPr>
        <w:spacing w:after="80"/>
      </w:pPr>
      <w:r>
        <w:rPr>
          <w:color w:val="101112"/>
          <w:sz w:val="22"/>
          <w:szCs w:val="22"/>
        </w:rPr>
        <w:t xml:space="preserve">Compose patterns using the "composed" primitive list as a checklist — every primitive listed should be present in your implementation.</w:t>
      </w:r>
    </w:p>
    <w:p>
      <w:pPr>
        <w:pStyle w:val="ListParagraph"/>
        <w:numPr>
          <w:ilvl w:val="0"/>
          <w:numId w:val="1"/>
        </w:numPr>
        <w:spacing w:after="80"/>
      </w:pPr>
      <w:r>
        <w:rPr>
          <w:color w:val="101112"/>
          <w:sz w:val="22"/>
          <w:szCs w:val="22"/>
        </w:rPr>
        <w:t xml:space="preserve">Wire interactive patterns to your application state: Action Plan requires a pre-execution hook; Stop Controls require access to the agent's execution context; Streaming requires a streaming data source.</w:t>
      </w:r>
    </w:p>
    <w:p>
      <w:pPr>
        <w:pStyle w:val="ListParagraph"/>
        <w:numPr>
          <w:ilvl w:val="0"/>
          <w:numId w:val="1"/>
        </w:numPr>
        <w:spacing w:after="80"/>
      </w:pPr>
      <w:r>
        <w:rPr>
          <w:color w:val="101112"/>
          <w:sz w:val="22"/>
          <w:szCs w:val="22"/>
        </w:rPr>
        <w:t xml:space="preserve">Test each pattern against all documented states: default, loading, error, empty, and success. The library's "variants" section documents the full state matrix for each pattern.</w:t>
      </w:r>
    </w:p>
    <w:p>
      <w:pPr>
        <w:pStyle w:val="ListParagraph"/>
        <w:numPr>
          <w:ilvl w:val="0"/>
          <w:numId w:val="1"/>
        </w:numPr>
        <w:spacing w:after="80"/>
      </w:pPr>
      <w:r>
        <w:rPr>
          <w:color w:val="101112"/>
          <w:sz w:val="22"/>
          <w:szCs w:val="22"/>
        </w:rPr>
        <w:t xml:space="preserve">Validate trust-critical patterns (Disclosure, Consent, Verification, Data Ownership) against your compliance team's requirements before shipping. Nucleux provides the UI scaffolding; your platform provides the data and audit trail.</w:t>
      </w:r>
    </w:p>
    <w:p>
      <w:pPr>
        <w:spacing w:after="200"/>
      </w:pPr>
      <w:r>
        <w:rPr>
          <w:color w:val="101112"/>
          <w:sz w:val="22"/>
          <w:szCs w:val="22"/>
        </w:rPr>
        <w:t xml:space="preserve"/>
      </w:r>
    </w:p>
    <w:p>
      <w:pPr>
        <w:pBdr>
          <w:bottom w:val="single" w:color="E2E8F0" w:sz="2"/>
        </w:pBdr>
        <w:spacing w:after="200" w:before="200"/>
      </w:pPr>
    </w:p>
    <w:p>
      <w:r>
        <w:br w:type="page"/>
      </w:r>
    </w:p>
    <w:p>
      <w:pPr>
        <w:pStyle w:val="Heading1"/>
        <w:pBdr>
          <w:bottom w:val="single" w:color="F5C518" w:sz="4" w:space="6"/>
        </w:pBdr>
        <w:spacing w:after="160" w:before="400"/>
      </w:pPr>
      <w:r>
        <w:rPr>
          <w:b/>
          <w:bCs/>
          <w:color w:val="101112"/>
          <w:sz w:val="36"/>
          <w:szCs w:val="36"/>
        </w:rPr>
        <w:t xml:space="preserve">07  Path B — AI-Assisted Implementation via MCP</w:t>
      </w:r>
    </w:p>
    <w:p>
      <w:pPr>
        <w:spacing w:after="120"/>
        <w:jc w:val="both"/>
      </w:pPr>
      <w:r>
        <w:rPr>
          <w:color w:val="101112"/>
          <w:sz w:val="22"/>
          <w:szCs w:val="22"/>
        </w:rPr>
        <w:t xml:space="preserve">Path B uses the Model Context Protocol (MCP) to connect the Nucleux pattern library directly to an AI development environment. Instead of browsing documentation manually, the developer's AI tool queries Nucleux programmatically — discovering components, retrieving documentation, and generating implementation-ready code without the developer leaving their editor.</w:t>
      </w:r>
    </w:p>
    <w:p>
      <w:pPr>
        <w:spacing w:after="120"/>
      </w:pPr>
      <w:r>
        <w:rPr>
          <w:color w:val="101112"/>
          <w:sz w:val="22"/>
          <w:szCs w:val="22"/>
        </w:rPr>
        <w:t xml:space="preserve"/>
      </w:r>
    </w:p>
    <w:p>
      <w:pPr>
        <w:pStyle w:val="Heading3"/>
        <w:spacing w:after="80" w:before="280"/>
      </w:pPr>
      <w:r>
        <w:rPr>
          <w:b/>
          <w:bCs/>
          <w:color w:val="0F172A"/>
          <w:sz w:val="24"/>
          <w:szCs w:val="24"/>
        </w:rPr>
        <w:t xml:space="preserve">Step 1  Connect Nucleux MCP to your AI development environment</w:t>
      </w:r>
    </w:p>
    <w:p>
      <w:pPr>
        <w:spacing w:after="120"/>
        <w:jc w:val="both"/>
      </w:pPr>
      <w:r>
        <w:rPr>
          <w:color w:val="101112"/>
          <w:sz w:val="22"/>
          <w:szCs w:val="22"/>
        </w:rPr>
        <w:t xml:space="preserve">Configure the Nucleux MCP server inside your AI tool. Nucleux ships an MCP server that exposes the full pattern library as a set of structured, queryable tools. Connection is supported in Claude, VS Code, Cursor, and any other MCP-compatible AI development environment.</w:t>
      </w:r>
    </w:p>
    <w:p>
      <w:pPr>
        <w:pStyle w:val="ListParagraph"/>
        <w:numPr>
          <w:ilvl w:val="0"/>
          <w:numId w:val="1"/>
        </w:numPr>
        <w:spacing w:after="80"/>
      </w:pPr>
      <w:r>
        <w:rPr>
          <w:color w:val="101112"/>
          <w:sz w:val="22"/>
          <w:szCs w:val="22"/>
        </w:rPr>
        <w:t xml:space="preserve">In Claude: add the Nucleux MCP configuration to your Claude settings. The server is available as a named tool set; no additional authentication is required for the public library.</w:t>
      </w:r>
    </w:p>
    <w:p>
      <w:pPr>
        <w:pStyle w:val="ListParagraph"/>
        <w:numPr>
          <w:ilvl w:val="0"/>
          <w:numId w:val="1"/>
        </w:numPr>
        <w:spacing w:after="80"/>
      </w:pPr>
      <w:r>
        <w:rPr>
          <w:color w:val="101112"/>
          <w:sz w:val="22"/>
          <w:szCs w:val="22"/>
        </w:rPr>
        <w:t xml:space="preserve">In VS Code (with a Copilot or AI assistant extension): add the Nucleux MCP endpoint to your workspace or user MCP configuration file.</w:t>
      </w:r>
    </w:p>
    <w:p>
      <w:pPr>
        <w:pStyle w:val="ListParagraph"/>
        <w:numPr>
          <w:ilvl w:val="0"/>
          <w:numId w:val="1"/>
        </w:numPr>
        <w:spacing w:after="80"/>
      </w:pPr>
      <w:r>
        <w:rPr>
          <w:color w:val="101112"/>
          <w:sz w:val="22"/>
          <w:szCs w:val="22"/>
        </w:rPr>
        <w:t xml:space="preserve">In Cursor: open Settings → MCP Servers and add the Nucleux server URL and any required configuration parameters.</w:t>
      </w:r>
    </w:p>
    <w:p>
      <w:pPr>
        <w:pStyle w:val="ListParagraph"/>
        <w:numPr>
          <w:ilvl w:val="0"/>
          <w:numId w:val="1"/>
        </w:numPr>
        <w:spacing w:after="80"/>
      </w:pPr>
      <w:r>
        <w:rPr>
          <w:color w:val="101112"/>
          <w:sz w:val="22"/>
          <w:szCs w:val="22"/>
        </w:rPr>
        <w:t xml:space="preserve">Verify the connection by asking your AI tool to list available Nucleux tools — it should return the component listing and documentation access tools.</w:t>
      </w:r>
    </w:p>
    <w:p>
      <w:pPr>
        <w:pStyle w:val="ListParagraph"/>
        <w:numPr>
          <w:ilvl w:val="0"/>
          <w:numId w:val="1"/>
        </w:numPr>
        <w:spacing w:after="80"/>
      </w:pPr>
      <w:r>
        <w:rPr>
          <w:color w:val="101112"/>
          <w:sz w:val="22"/>
          <w:szCs w:val="22"/>
        </w:rPr>
        <w:t xml:space="preserve">The MCP server exposes a live connection to the same pattern library used by Path A — any update to Nucleux is immediately available to connected AI tools.</w:t>
      </w:r>
    </w:p>
    <w:p>
      <w:pPr>
        <w:spacing w:after="120"/>
      </w:pPr>
      <w:r>
        <w:rPr>
          <w:color w:val="101112"/>
          <w:sz w:val="22"/>
          <w:szCs w:val="22"/>
        </w:rPr>
        <w:t xml:space="preserve"/>
      </w:r>
    </w:p>
    <w:p>
      <w:pPr>
        <w:pStyle w:val="Heading3"/>
        <w:spacing w:after="80" w:before="280"/>
      </w:pPr>
      <w:r>
        <w:rPr>
          <w:b/>
          <w:bCs/>
          <w:color w:val="0F172A"/>
          <w:sz w:val="24"/>
          <w:szCs w:val="24"/>
        </w:rPr>
        <w:t xml:space="preserve">Step 2  AI discovers available components</w:t>
      </w:r>
    </w:p>
    <w:p>
      <w:pPr>
        <w:spacing w:after="120"/>
        <w:jc w:val="both"/>
      </w:pPr>
      <w:r>
        <w:rPr>
          <w:color w:val="101112"/>
          <w:sz w:val="22"/>
          <w:szCs w:val="22"/>
        </w:rPr>
        <w:t xml:space="preserve">Once connected, the AI tool queries the Nucleux MCP server to discover what components and patterns are available. This happens automatically at the start of any Nucleux-related task — the AI does not require the developer to specify component names.</w:t>
      </w:r>
    </w:p>
    <w:p>
      <w:pPr>
        <w:pStyle w:val="ListParagraph"/>
        <w:numPr>
          <w:ilvl w:val="0"/>
          <w:numId w:val="1"/>
        </w:numPr>
        <w:spacing w:after="80"/>
      </w:pPr>
      <w:r>
        <w:rPr>
          <w:color w:val="101112"/>
          <w:sz w:val="22"/>
          <w:szCs w:val="22"/>
        </w:rPr>
        <w:t xml:space="preserve">The MCP server returns the full component catalogue: 88 patterns across four stages and 21 sub-categories.</w:t>
      </w:r>
    </w:p>
    <w:p>
      <w:pPr>
        <w:pStyle w:val="ListParagraph"/>
        <w:numPr>
          <w:ilvl w:val="0"/>
          <w:numId w:val="1"/>
        </w:numPr>
        <w:spacing w:after="80"/>
      </w:pPr>
      <w:r>
        <w:rPr>
          <w:color w:val="101112"/>
          <w:sz w:val="22"/>
          <w:szCs w:val="22"/>
        </w:rPr>
        <w:t xml:space="preserve">Each component is returned with its id, name, oneline description, trust value (Critical / High / Standard), stage, and sub-category — giving the AI enough context to reason about which patterns are relevant to the current task.</w:t>
      </w:r>
    </w:p>
    <w:p>
      <w:pPr>
        <w:pStyle w:val="ListParagraph"/>
        <w:numPr>
          <w:ilvl w:val="0"/>
          <w:numId w:val="1"/>
        </w:numPr>
        <w:spacing w:after="80"/>
      </w:pPr>
      <w:r>
        <w:rPr>
          <w:color w:val="101112"/>
          <w:sz w:val="22"/>
          <w:szCs w:val="22"/>
        </w:rPr>
        <w:t xml:space="preserve">The AI can filter the catalogue by stage, sub-category, trust value, or surface archetype without any manual input from the developer.</w:t>
      </w:r>
    </w:p>
    <w:p>
      <w:pPr>
        <w:pStyle w:val="ListParagraph"/>
        <w:numPr>
          <w:ilvl w:val="0"/>
          <w:numId w:val="1"/>
        </w:numPr>
        <w:spacing w:after="80"/>
      </w:pPr>
      <w:r>
        <w:rPr>
          <w:color w:val="101112"/>
          <w:sz w:val="22"/>
          <w:szCs w:val="22"/>
        </w:rPr>
        <w:t xml:space="preserve">Discovery is session-scoped: the AI queries the catalogue once at the start of a session and caches the result for subsequent tool calls.</w:t>
      </w:r>
    </w:p>
    <w:p>
      <w:pPr>
        <w:spacing w:after="120"/>
      </w:pPr>
      <w:r>
        <w:rPr>
          <w:color w:val="101112"/>
          <w:sz w:val="22"/>
          <w:szCs w:val="22"/>
        </w:rPr>
        <w:t xml:space="preserve"/>
      </w:r>
    </w:p>
    <w:p>
      <w:pPr>
        <w:pStyle w:val="Heading3"/>
        <w:spacing w:after="80" w:before="280"/>
      </w:pPr>
      <w:r>
        <w:rPr>
          <w:b/>
          <w:bCs/>
          <w:color w:val="0F172A"/>
          <w:sz w:val="24"/>
          <w:szCs w:val="24"/>
        </w:rPr>
        <w:t xml:space="preserve">Step 3  AI retrieves documentation, properties, variants, and tokens</w:t>
      </w:r>
    </w:p>
    <w:p>
      <w:pPr>
        <w:spacing w:after="120"/>
        <w:jc w:val="both"/>
      </w:pPr>
      <w:r>
        <w:rPr>
          <w:color w:val="101112"/>
          <w:sz w:val="22"/>
          <w:szCs w:val="22"/>
        </w:rPr>
        <w:t xml:space="preserve">For each pattern the AI identifies as relevant, it queries the MCP server for full documentation — including properties, variant definitions, placement guidance, and design token values. This gives the AI the same information a developer would read on the pattern detail page.</w:t>
      </w:r>
    </w:p>
    <w:p>
      <w:pPr>
        <w:pStyle w:val="ListParagraph"/>
        <w:numPr>
          <w:ilvl w:val="0"/>
          <w:numId w:val="1"/>
        </w:numPr>
        <w:spacing w:after="80"/>
      </w:pPr>
      <w:r>
        <w:rPr>
          <w:color w:val="101112"/>
          <w:sz w:val="22"/>
          <w:szCs w:val="22"/>
        </w:rPr>
        <w:t xml:space="preserve">Documentation retrieved: what the pattern is, why it matters, when to use it, how to implement it, code examples, and related patterns.</w:t>
      </w:r>
    </w:p>
    <w:p>
      <w:pPr>
        <w:pStyle w:val="ListParagraph"/>
        <w:numPr>
          <w:ilvl w:val="0"/>
          <w:numId w:val="1"/>
        </w:numPr>
        <w:spacing w:after="80"/>
      </w:pPr>
      <w:r>
        <w:rPr>
          <w:color w:val="101112"/>
          <w:sz w:val="22"/>
          <w:szCs w:val="22"/>
        </w:rPr>
        <w:t xml:space="preserve">Properties retrieved: component prop schema, required vs. optional props, default values, and type definitions.</w:t>
      </w:r>
    </w:p>
    <w:p>
      <w:pPr>
        <w:pStyle w:val="ListParagraph"/>
        <w:numPr>
          <w:ilvl w:val="0"/>
          <w:numId w:val="1"/>
        </w:numPr>
        <w:spacing w:after="80"/>
      </w:pPr>
      <w:r>
        <w:rPr>
          <w:color w:val="101112"/>
          <w:sz w:val="22"/>
          <w:szCs w:val="22"/>
        </w:rPr>
        <w:t xml:space="preserve">Variants retrieved: all documented variants for the pattern (e.g., header-badge, footer-attribution, input-chip, first-run-banner for Disclosure), with notes on when each is appropriate.</w:t>
      </w:r>
    </w:p>
    <w:p>
      <w:pPr>
        <w:pStyle w:val="ListParagraph"/>
        <w:numPr>
          <w:ilvl w:val="0"/>
          <w:numId w:val="1"/>
        </w:numPr>
        <w:spacing w:after="80"/>
      </w:pPr>
      <w:r>
        <w:rPr>
          <w:color w:val="101112"/>
          <w:sz w:val="22"/>
          <w:szCs w:val="22"/>
        </w:rPr>
        <w:t xml:space="preserve">Placements retrieved: which variant is recommended for each of the six product archetypes (chat, right-rail, canvas, code editor, video, email).</w:t>
      </w:r>
    </w:p>
    <w:p>
      <w:pPr>
        <w:pStyle w:val="ListParagraph"/>
        <w:numPr>
          <w:ilvl w:val="0"/>
          <w:numId w:val="1"/>
        </w:numPr>
        <w:spacing w:after="80"/>
      </w:pPr>
      <w:r>
        <w:rPr>
          <w:color w:val="101112"/>
          <w:sz w:val="22"/>
          <w:szCs w:val="22"/>
        </w:rPr>
        <w:t xml:space="preserve">Tokens retrieved: all CSS custom property values relevant to the pattern — colours, typography, spacing, border-radius — from the Figma design system token export.</w:t>
      </w:r>
    </w:p>
    <w:p>
      <w:pPr>
        <w:pStyle w:val="ListParagraph"/>
        <w:numPr>
          <w:ilvl w:val="0"/>
          <w:numId w:val="1"/>
        </w:numPr>
        <w:spacing w:after="80"/>
      </w:pPr>
      <w:r>
        <w:rPr>
          <w:color w:val="101112"/>
          <w:sz w:val="22"/>
          <w:szCs w:val="22"/>
        </w:rPr>
        <w:t xml:space="preserve">Figma metadata retrieved: node IDs, component keys, and variant property names — enabling the AI to reference or instantiate components in Figma directly from the code generation step.</w:t>
      </w:r>
    </w:p>
    <w:p>
      <w:pPr>
        <w:spacing w:after="120"/>
      </w:pPr>
      <w:r>
        <w:rPr>
          <w:color w:val="101112"/>
          <w:sz w:val="22"/>
          <w:szCs w:val="22"/>
        </w:rPr>
        <w:t xml:space="preserve"/>
      </w:r>
    </w:p>
    <w:p>
      <w:pPr>
        <w:pStyle w:val="Heading3"/>
        <w:spacing w:after="80" w:before="280"/>
      </w:pPr>
      <w:r>
        <w:rPr>
          <w:b/>
          <w:bCs/>
          <w:color w:val="0F172A"/>
          <w:sz w:val="24"/>
          <w:szCs w:val="24"/>
        </w:rPr>
        <w:t xml:space="preserve">Step 4  AI recommends suitable patterns</w:t>
      </w:r>
    </w:p>
    <w:p>
      <w:pPr>
        <w:spacing w:after="120"/>
        <w:jc w:val="both"/>
      </w:pPr>
      <w:r>
        <w:rPr>
          <w:color w:val="101112"/>
          <w:sz w:val="22"/>
          <w:szCs w:val="22"/>
        </w:rPr>
        <w:t xml:space="preserve">With the full catalogue and documentation available, the AI analyses the developer's task description and recommends the most appropriate patterns. Recommendations follow the same bundle-first logic used by the Lumen discovery agent: a set of three to five complementary patterns is offered before variants are explored.</w:t>
      </w:r>
    </w:p>
    <w:p>
      <w:pPr>
        <w:pStyle w:val="ListParagraph"/>
        <w:numPr>
          <w:ilvl w:val="0"/>
          <w:numId w:val="1"/>
        </w:numPr>
        <w:spacing w:after="80"/>
      </w:pPr>
      <w:r>
        <w:rPr>
          <w:color w:val="101112"/>
          <w:sz w:val="22"/>
          <w:szCs w:val="22"/>
        </w:rPr>
        <w:t xml:space="preserve">The AI matches the task description against pattern "what / why / when" fields to identify the highest-relevance patterns.</w:t>
      </w:r>
    </w:p>
    <w:p>
      <w:pPr>
        <w:pStyle w:val="ListParagraph"/>
        <w:numPr>
          <w:ilvl w:val="0"/>
          <w:numId w:val="1"/>
        </w:numPr>
        <w:spacing w:after="80"/>
      </w:pPr>
      <w:r>
        <w:rPr>
          <w:color w:val="101112"/>
          <w:sz w:val="22"/>
          <w:szCs w:val="22"/>
        </w:rPr>
        <w:t xml:space="preserve">Trust-critical patterns (Disclosure, Consent, Verification) are always included in a recommendation if the task involves a new agentic surface or a first-user interaction — these are the ethical foundation that every other pattern depends on.</w:t>
      </w:r>
    </w:p>
    <w:p>
      <w:pPr>
        <w:pStyle w:val="ListParagraph"/>
        <w:numPr>
          <w:ilvl w:val="0"/>
          <w:numId w:val="1"/>
        </w:numPr>
        <w:spacing w:after="80"/>
      </w:pPr>
      <w:r>
        <w:rPr>
          <w:color w:val="101112"/>
          <w:sz w:val="22"/>
          <w:szCs w:val="22"/>
        </w:rPr>
        <w:t xml:space="preserve">The AI surfaces the "related patterns" list for each recommended pattern, so the developer can see the full complement of patterns needed for their feature.</w:t>
      </w:r>
    </w:p>
    <w:p>
      <w:pPr>
        <w:pStyle w:val="ListParagraph"/>
        <w:numPr>
          <w:ilvl w:val="0"/>
          <w:numId w:val="1"/>
        </w:numPr>
        <w:spacing w:after="80"/>
      </w:pPr>
      <w:r>
        <w:rPr>
          <w:color w:val="101112"/>
          <w:sz w:val="22"/>
          <w:szCs w:val="22"/>
        </w:rPr>
        <w:t xml:space="preserve">If the developer specifies a product archetype (chat, right-rail, code editor, etc.), the AI filters recommendations to the variants and placements documented for that archetype.</w:t>
      </w:r>
    </w:p>
    <w:p>
      <w:pPr>
        <w:pStyle w:val="ListParagraph"/>
        <w:numPr>
          <w:ilvl w:val="0"/>
          <w:numId w:val="1"/>
        </w:numPr>
        <w:spacing w:after="80"/>
      </w:pPr>
      <w:r>
        <w:rPr>
          <w:color w:val="101112"/>
          <w:sz w:val="22"/>
          <w:szCs w:val="22"/>
        </w:rPr>
        <w:t xml:space="preserve">The AI explains the trade-off between recommended patterns where relevant — for example, Action Plan (pre-execution approval) vs. Stream of Thought (in-progress transparency) vs. Footprints (post-execution audit).</w:t>
      </w:r>
    </w:p>
    <w:p>
      <w:pPr>
        <w:spacing w:after="120"/>
      </w:pPr>
      <w:r>
        <w:rPr>
          <w:color w:val="101112"/>
          <w:sz w:val="22"/>
          <w:szCs w:val="22"/>
        </w:rPr>
        <w:t xml:space="preserve"/>
      </w:r>
    </w:p>
    <w:p>
      <w:pPr>
        <w:pStyle w:val="Heading3"/>
        <w:spacing w:after="80" w:before="280"/>
      </w:pPr>
      <w:r>
        <w:rPr>
          <w:b/>
          <w:bCs/>
          <w:color w:val="0F172A"/>
          <w:sz w:val="24"/>
          <w:szCs w:val="24"/>
        </w:rPr>
        <w:t xml:space="preserve">Step 5  AI generates implementation-ready code using Nucleux components</w:t>
      </w:r>
    </w:p>
    <w:p>
      <w:pPr>
        <w:spacing w:after="120"/>
        <w:jc w:val="both"/>
      </w:pPr>
      <w:r>
        <w:rPr>
          <w:color w:val="101112"/>
          <w:sz w:val="22"/>
          <w:szCs w:val="22"/>
        </w:rPr>
        <w:t xml:space="preserve">The AI generates complete, implementation-ready code using the Nucleux component imports, correct prop values, token references, and variant selections — wired to the developer's application context. The developer receives code that is correct by construction against the Nucleux pattern specification.</w:t>
      </w:r>
    </w:p>
    <w:p>
      <w:pPr>
        <w:pStyle w:val="ListParagraph"/>
        <w:numPr>
          <w:ilvl w:val="0"/>
          <w:numId w:val="1"/>
        </w:numPr>
        <w:spacing w:after="80"/>
      </w:pPr>
      <w:r>
        <w:rPr>
          <w:color w:val="101112"/>
          <w:sz w:val="22"/>
          <w:szCs w:val="22"/>
        </w:rPr>
        <w:t xml:space="preserve">Component imports are resolved from the Nucleux package — the AI uses the package name and named exports confirmed in Steps 2 and 3.</w:t>
      </w:r>
    </w:p>
    <w:p>
      <w:pPr>
        <w:pStyle w:val="ListParagraph"/>
        <w:numPr>
          <w:ilvl w:val="0"/>
          <w:numId w:val="1"/>
        </w:numPr>
        <w:spacing w:after="80"/>
      </w:pPr>
      <w:r>
        <w:rPr>
          <w:color w:val="101112"/>
          <w:sz w:val="22"/>
          <w:szCs w:val="22"/>
        </w:rPr>
        <w:t xml:space="preserve">Props are populated from the documented property schema: required props are always included, optional props are set to the documented defaults unless the developer specifies otherwise.</w:t>
      </w:r>
    </w:p>
    <w:p>
      <w:pPr>
        <w:pStyle w:val="ListParagraph"/>
        <w:numPr>
          <w:ilvl w:val="0"/>
          <w:numId w:val="1"/>
        </w:numPr>
        <w:spacing w:after="80"/>
      </w:pPr>
      <w:r>
        <w:rPr>
          <w:color w:val="101112"/>
          <w:sz w:val="22"/>
          <w:szCs w:val="22"/>
        </w:rPr>
        <w:t xml:space="preserve">Token references use the CSS custom property names from the Nucleux token system — the generated code uses var(--border), var(--fg), var(--ink-950), etc., not hard-coded colour values.</w:t>
      </w:r>
    </w:p>
    <w:p>
      <w:pPr>
        <w:pStyle w:val="ListParagraph"/>
        <w:numPr>
          <w:ilvl w:val="0"/>
          <w:numId w:val="1"/>
        </w:numPr>
        <w:spacing w:after="80"/>
      </w:pPr>
      <w:r>
        <w:rPr>
          <w:color w:val="101112"/>
          <w:sz w:val="22"/>
          <w:szCs w:val="22"/>
        </w:rPr>
        <w:t xml:space="preserve">Variant selection is driven by the placement guidance: if the developer's surface is a code editor, the AI selects the code-editor-documented variant for each pattern (e.g., the input-chip Disclosure variant rather than the first-run-banner).</w:t>
      </w:r>
    </w:p>
    <w:p>
      <w:pPr>
        <w:pStyle w:val="ListParagraph"/>
        <w:numPr>
          <w:ilvl w:val="0"/>
          <w:numId w:val="1"/>
        </w:numPr>
        <w:spacing w:after="80"/>
      </w:pPr>
      <w:r>
        <w:rPr>
          <w:color w:val="101112"/>
          <w:sz w:val="22"/>
          <w:szCs w:val="22"/>
        </w:rPr>
        <w:t xml:space="preserve">Interactive patterns are wired to the developer's application state: the AI generates the hook calls, event handlers, and state bindings required by patterns like Stop Controls, Streaming, Action Plan, and Cost Estimates.</w:t>
      </w:r>
    </w:p>
    <w:p>
      <w:pPr>
        <w:pStyle w:val="ListParagraph"/>
        <w:numPr>
          <w:ilvl w:val="0"/>
          <w:numId w:val="1"/>
        </w:numPr>
        <w:spacing w:after="80"/>
      </w:pPr>
      <w:r>
        <w:rPr>
          <w:color w:val="101112"/>
          <w:sz w:val="22"/>
          <w:szCs w:val="22"/>
        </w:rPr>
        <w:t xml:space="preserve">The generated code is immediately runnable — it does not require manual prop completion, import resolution, or token substitution before the developer can see it working in their environment.</w:t>
      </w:r>
    </w:p>
    <w:p>
      <w:pPr>
        <w:spacing w:after="400"/>
      </w:pPr>
      <w:r>
        <w:rPr>
          <w:color w:val="101112"/>
          <w:sz w:val="22"/>
          <w:szCs w:val="22"/>
        </w:rPr>
        <w:t xml:space="preserve"/>
      </w:r>
    </w:p>
    <w:p>
      <w:pPr>
        <w:pBdr>
          <w:top w:val="single" w:color="E2E8F0" w:sz="2"/>
        </w:pBdr>
        <w:spacing w:after="0" w:before="200"/>
        <w:jc w:val="center"/>
      </w:pPr>
      <w:r>
        <w:rPr>
          <w:color w:val="6B7280"/>
          <w:sz w:val="18"/>
          <w:szCs w:val="18"/>
        </w:rPr>
        <w:t xml:space="preserve">Nucleux · Intelligaia · v0.3 · 2026</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right"/>
    </w:pPr>
    <w:r>
      <w:rPr>
        <w:color w:val="6B7280"/>
        <w:sz w:val="20"/>
        <w:szCs w:val="20"/>
      </w:rPr>
      <w:t xml:space="preserve">Nucleux Product Documentation · Intelligaia · 2026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spacing w:after="120"/>
    </w:pPr>
    <w:r>
      <w:rPr>
        <w:b/>
        <w:bCs/>
        <w:color w:val="6B7280"/>
        <w:sz w:val="18"/>
        <w:szCs w:val="18"/>
      </w:rPr>
      <w:t xml:space="preserve">Nucleux — Product Documentation</w:t>
    </w:r>
    <w:r>
      <w:rPr>
        <w:color w:val="D1D5DB"/>
        <w:sz w:val="18"/>
        <w:szCs w:val="18"/>
      </w:rPr>
      <w:t xml:space="preserve">  ·  Intelligaia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011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2026-08-06T07:19:52.299Z</dcterms:created>
  <dcterms:modified xsi:type="dcterms:W3CDTF">2026-08-06T07:19:52.299Z</dcterms:modified>
</cp:coreProperties>
</file>

<file path=docProps/custom.xml><?xml version="1.0" encoding="utf-8"?>
<Properties xmlns="http://schemas.openxmlformats.org/officeDocument/2006/custom-properties" xmlns:vt="http://schemas.openxmlformats.org/officeDocument/2006/docPropsVTypes"/>
</file>