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2、查询案例中：2014年双方签订《建设工程施工合同》（GF-2015-0201示范文本），约定承包范围为8、9、10根据第15个判例，得出的裁判规则是：</w:t>
        <w:br/>
        <w:t xml:space="preserve">规则：承包人与发包人就欠付工程款达成以房抵债协议（含具体抵房标的、数量、单价及明细清单）的，该协议折价行为构成《建工司法解释（二）》第十九条规定的“协议折价”，可作为承包人行使建设工程价款优先受偿权的有效方式，其行使时间应自该折价合意成立之日起算；若协议中同时约定现金支付与折价抵顶两种履行方式，法院不得仅依据现金支付节点认定应付工程款之日，而应分别审查折价部分是否已实质性达成合意并具备可执行性，进而确定优先权起算时点。  </w:t>
        <w:br/>
        <w:t>参考的案例是：海某建设公司诉丰某房地产开发公司建设工程施工合同纠纷案</w:t>
        <w:br/>
      </w:r>
    </w:p>
    <w:p>
      <w:r>
        <w:t>13、查询案例中：华太公司诉请支付拖欠工程款及质保金共计49381981.35元，包括8、9、10根据第38个判例，得出的裁判规则是：</w:t>
        <w:br/>
        <w:t xml:space="preserve">3规则：建设工程竣工验收合格并交付使用后，除合同另有明确约定且该约定不违反诚实信用原则外，发包人不得以业主未付款为由无限期拒付分包人或实际施工人工程款；质保期届满且无证据证明存在质量缺陷的，质保金支付条件成就。  </w:t>
        <w:br/>
        <w:t>参考的案例是：北京某建筑工程公司诉某建筑公司北京分公司、某建筑公司建设工程分包合同纠纷案</w:t>
        <w:br/>
      </w:r>
    </w:p>
    <w:p>
      <w:r>
        <w:t>15、查询案例中：楼、配变电室工程款及质保金，并主张利息、秦某某连带责任、建设工程价款优先受偿权及合同解除根据第3个判例，得出的裁判规则是：</w:t>
        <w:br/>
        <w:t xml:space="preserve">规则：承包人可在法定六个月除斥期间内，通过向执行法院提交主张优先受偿权的书面函件、参与分配申请或向发包人发送工作联系单等方式行使建设工程价款优先受偿权，不以必须提起诉讼为唯一合法方式；该权利自“发包人应当给付建设工程价款之日”起算，且在执行程序中及时主张即视为有效行使。  </w:t>
        <w:br/>
        <w:t>参考的案例是：指导性案例171号：中天建设集团有限公司诉河南恒和置业有限公司建设工程施工合同纠纷案</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