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0、查询案例中：原告：张明红（个人实际施工人）。被告：江苏盐城四建建设集团有限公司（盐城四建）、中国化学工程第六建设有限公司（化工六建）。根据第28个判例，得出的裁判规则是：</w:t>
        <w:br/>
        <w:t>规则：实际施工人虽未与转包人/违法分包人签订书面合同或系事后补签，但若能形成完整证据链证明其实际组织施工、对外支付人工材料款、收取工程款、缴纳工程相关税费、参与工程签证及结算沟通等事实的，应依法认定其实际施工人身份；发包人是否付清工程款、质保金是否退还，不影响转包人/违法分包人向实际施工人承担付款责任；设计变更签证单经发包人、监理及施工单位项目部共同签章确认，且实际施工人举证证明其实施了增加工程内容的，该部分价款应予支持，转包人以“未纳入总包结算”或“逾期申报”为由拒付的，不予支持。依据：《最高人民法院关于审理建设工程施工合同纠纷案件适用法律问题的解释（一）》第一条第二项、第二条、第十六条第二款、第四十三条；《最高人民法院关于适用〈中华人民共和国民事诉讼法〉的解释》第一百零五条。参考案例：张某诉某建设公司建设工程施工合同纠纷再审案（裁判文书未载明案号，但全文为典型再审判决书）。适用理由：本案原告张明红作为个人实际施工人，起诉盐城四建（转包人/违法分包人）及化工六建（发包人），核心争议同样聚焦于实际施工人身份认定、合同内工程款及设计变更增量款支付义务、以及发包人付款状态对转包人责任的影响。候选案例确立的“重实质履行、轻形式签约”“付款责任独立于发包人付款进度”“签证确认即推定施工事实”三项裁判逻辑，与本案事实结构高度契合——张明红亦存在组织施工、代缴税款、持有签证单、参与结算交涉等行为，且盐城四建与化工六建之间工程款支付情况不明，不能成为拒付张明红工程款的正当理由；该规则可直接指导本案对张明红主体资格的审查标准、工程款计价范围认定及责任主体划分，具有明确的类案指引效力。</w:t>
        <w:br/>
        <w:t>参考的案例是：张某诉河南省某建设有限公司、某置业有限公司、杨某建设工程施工合同纠纷案</w:t>
        <w:br/>
      </w:r>
    </w:p>
    <w:p>
      <w:r>
        <w:t>1、查询案例中：原告主张被告盐城四建支付两个工程项目的剩余工程款合计2655434元，并主张被告化工六建承担连带清偿责任。根据第11个判例，得出的裁判规则是：</w:t>
        <w:br/>
        <w:t xml:space="preserve">规则：挂靠关系属于内部约定，对外不具有对抗第三人的效力；被挂靠单位作为合同名义主体及工程承接方，应对实际施工人就其完成的工程量承担付款责任，且施工班组未明确放弃向总包方主张权利的，不因内部付款流程约定而免除总包方的法定或合同付款义务。  </w:t>
        <w:br/>
        <w:t>参考的案例是：上海某某公司诉南通某某公司装饰装修合同纠纷案</w:t>
        <w:br/>
      </w:r>
    </w:p>
    <w:p>
      <w:r>
        <w:t>3、查询案例中：被告化工六建对欠款金额无异议，但辩称与原告无直接合同关系，无付款义务，并主张盐城四建存在工期延误和质量问题。根据第19个判例，得出的裁判规则是：</w:t>
        <w:br/>
        <w:t xml:space="preserve">规则：实际施工人有权在建设单位未及时完成审定造价且工程已竣工验收备案的情况下，直接主张工程款；发包人或转包人不得以“建设单位审定造价尚未出具”为由拒付已确认的欠款，亦不得将行政性文件（如未经协商、未公示、事后形成的专题会议纪要）作为扣减工程款或否定结算依据的正当理由；合同相对性抗辩及下游分包人/实际施工人的工期、质量问题，不构成对上游合法债权请求权的当然阻却。  </w:t>
        <w:br/>
        <w:t>参考的案例是：王某某诉宁夏某建筑公司、某市住房和城乡建设局建设工程施工合同纠纷案</w:t>
        <w:br/>
      </w:r>
    </w:p>
    <w:p>
      <w:r>
        <w:t>4、查询案例中：法院查明原告与盐城四建签订内部承包合同，约定原告作为项目负责人负责施工，工程款由盐城四建统一收取后根据进度支付，双方构成挂靠关系。根据第34个判例，得出的裁判规则是：</w:t>
        <w:br/>
        <w:t xml:space="preserve">3规则：实际施工人基于与建筑施工企业及发包人（或合作方）签订的内部承包协议，以合同相对方为被告提起工程款给付及优先受偿权确认之诉，只要符合《民事诉讼法》第一百一十九条规定的起诉条件，即具有诉的利益和可诉性，人民法院不得以“当事人无实质性争议”为由驳回起诉；实体权利是否成立应经审理后认定。  </w:t>
        <w:br/>
        <w:t>参考的案例是：凌某某诉江苏某建设有限公司、青岛某置业有限公司建设工程合同纠纷案</w:t>
        <w:br/>
      </w:r>
    </w:p>
    <w:p>
      <w:r>
        <w:t>5、查询案例中：原告以盐城四建委托代理人身份与化工六建签订两份分包合同，并实际施工，工程已竣工并投入使用。根据第24个判例，得出的裁判规则是：</w:t>
        <w:br/>
        <w:t xml:space="preserve">规则：建设工程分包合同纠纷属于不动产专属管辖范畴，当事人约定的管辖条款若违反《民事诉讼法》关于不动产纠纷由工程所在地法院专属管辖的规定，该约定无效；同一原告就同一建设工程项目、同一被告所涉多份关联分包合同一并起诉主张工程款及利息的，不违反法律规定。  </w:t>
        <w:br/>
        <w:t>参考的案例是：某甲公司诉某乙公司建设工程分包合同纠纷案</w:t>
        <w:br/>
      </w:r>
    </w:p>
    <w:p>
      <w:r>
        <w:t>6、查询案例中：盐城四建出具结算确认单，确认欠付原告工程款2655434元，且化工六建与盐城四建均确认化工六建欠付盐城四建同等金额工程款。根据第11个判例，得出的裁判规则是：</w:t>
        <w:br/>
        <w:t xml:space="preserve">规则：实际施工人完成工程施工并经发包人或转包人/违法分包人确认结算金额后，该结算确认单构成债权确定的直接依据；发包人与转包人之间就同一工程款数额的相互确认，可作为突破合同相对性的事实基础，支持实际施工人向发包人在欠付范围内主张权利。  </w:t>
        <w:br/>
        <w:t>参考的案例是：上海某某公司诉南通某某公司装饰装修合同纠纷案</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