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2、查询案例中：储能公司已按合同约定完成工程施工，案涉工程于2016年5月29日竣工。根据第35个判例，得出的裁判规则是：</w:t>
        <w:br/>
        <w:t xml:space="preserve">3规则：建设工程虽存在合同效力瑕疵（如无效），但承包人已依约完成全部施工且工程已实际交付使用的，发包人不得以未经正式竣工验收为由拒付工程款；工程量可依据发包人与上游单位确认的结算数据或实际移交事实予以认定。  </w:t>
        <w:br/>
        <w:t>参考的案例是：三亚某实业公司诉朝阳某工程公司、海南某渔政管理站建设工程施工合同纠纷案</w:t>
        <w:br/>
      </w:r>
    </w:p>
    <w:p>
      <w:r>
        <w:t>4、查询案例中：来鹤台公司至今未支付任何工程款，构成违约。根据第24个判例，得出的裁判规则是：</w:t>
        <w:br/>
        <w:t xml:space="preserve">规则：建设工程施工合同中，发包人或分包人未按约支付工程款的，构成根本违约，承包人有权主张全部欠付工程款及相应利息；履约保证金的返还义务亦属主合同附随义务，其迟延返还可与工程款一并主张，但须以合同有效且付款条件成就为前提。  </w:t>
        <w:br/>
        <w:t>参考的案例是：某甲公司诉某乙公司建设工程分包合同纠纷案</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