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CAD3" w14:textId="464F2DA7" w:rsidR="00EE6B47" w:rsidRDefault="00667FA2">
      <w:r>
        <w:t xml:space="preserve">Humans spend nearly 90% of their time indoors, </w:t>
      </w:r>
      <w:r w:rsidR="00A97A15">
        <w:t>which means</w:t>
      </w:r>
      <w:r>
        <w:t xml:space="preserve"> that understanding the effects of</w:t>
      </w:r>
      <w:r w:rsidR="00A97A15">
        <w:t xml:space="preserve"> </w:t>
      </w:r>
      <w:r>
        <w:t xml:space="preserve">acute and chronic exposures to </w:t>
      </w:r>
      <w:r w:rsidR="00A97A15">
        <w:t>elevated</w:t>
      </w:r>
      <w:r>
        <w:t xml:space="preserve"> concentrations of indoor air pollutants on human health is imperative. In the past ten years, a vast quantity of affordable, consumer-grade air quality sensors ha</w:t>
      </w:r>
      <w:r w:rsidR="00A97A15">
        <w:t>s</w:t>
      </w:r>
      <w:r>
        <w:t xml:space="preserve"> come on the market. These sensors, while less accurate than their research-grade counterparts, </w:t>
      </w:r>
      <w:r w:rsidR="00A97A15">
        <w:t>provide</w:t>
      </w:r>
      <w:r>
        <w:t xml:space="preserve"> researchers the opportunity to understand bulk indoor air quality (IAQ) across a wide range </w:t>
      </w:r>
      <w:r w:rsidR="00070B4A">
        <w:t xml:space="preserve">and quantity </w:t>
      </w:r>
      <w:r>
        <w:t>of indoor spaces</w:t>
      </w:r>
      <w:r w:rsidR="00070B4A">
        <w:t xml:space="preserve"> due to their affordability and ease-of-use. During the same period, other commercial sensors like those in mobile phones and wearable fitness trackers, have </w:t>
      </w:r>
      <w:r w:rsidR="00A97A15">
        <w:t>given</w:t>
      </w:r>
      <w:r w:rsidR="00070B4A">
        <w:t xml:space="preserve"> researchers with the ability to understand people’s behaviors and health on a greater scale. Combining data streams from IAQ sensors and mobile sensing devices provides researchers the opportunity to conduct large-scale studies at a fraction of the cost while gather </w:t>
      </w:r>
      <w:r w:rsidR="00A97A15">
        <w:t>ecologically valid</w:t>
      </w:r>
      <w:r w:rsidR="00070B4A">
        <w:t xml:space="preserve"> data. We conducted such a study over a period of 11 weeks with </w:t>
      </w:r>
      <w:r w:rsidR="00F95233">
        <w:t>7</w:t>
      </w:r>
      <w:r w:rsidR="00070B4A">
        <w:t xml:space="preserve">0 student participants gathering information on health, </w:t>
      </w:r>
      <w:r w:rsidR="00F95233">
        <w:t xml:space="preserve">activity, </w:t>
      </w:r>
      <w:r w:rsidR="00070B4A">
        <w:t xml:space="preserve">movement, mood, and IAQ. </w:t>
      </w:r>
      <w:r w:rsidR="00F95233">
        <w:t xml:space="preserve">This presentation will focus on the IAQ device that we developed – the Building </w:t>
      </w:r>
      <w:proofErr w:type="spellStart"/>
      <w:r w:rsidR="00F95233">
        <w:t>EnVironment</w:t>
      </w:r>
      <w:proofErr w:type="spellEnd"/>
      <w:r w:rsidR="00F95233">
        <w:t xml:space="preserve"> and Occupancy (BEVO) Beacon – and how we were able to use data from this device and the other study modalities to accurately assess </w:t>
      </w:r>
      <w:r w:rsidR="00A97A15">
        <w:t>ventilation and occupancy. Results from this analysis were then used to understand</w:t>
      </w:r>
      <w:r w:rsidR="00F95233">
        <w:t xml:space="preserve"> the relationship between ventilation/IAQ </w:t>
      </w:r>
      <w:r w:rsidR="00A97A15">
        <w:t>and</w:t>
      </w:r>
      <w:r w:rsidR="00F95233">
        <w:t xml:space="preserve"> sleep quality</w:t>
      </w:r>
      <w:r w:rsidR="00A97A15">
        <w:t xml:space="preserve">, which we also provide. This study is one of the many emerging that highlight the utility of consumer-grade sensors for IAQ applications. </w:t>
      </w:r>
    </w:p>
    <w:sectPr w:rsidR="00EE6B47" w:rsidSect="00D5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A2"/>
    <w:rsid w:val="00070B4A"/>
    <w:rsid w:val="00071BB2"/>
    <w:rsid w:val="00667FA2"/>
    <w:rsid w:val="00A97A15"/>
    <w:rsid w:val="00AB615C"/>
    <w:rsid w:val="00D52576"/>
    <w:rsid w:val="00F9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4598D"/>
  <w15:chartTrackingRefBased/>
  <w15:docId w15:val="{D1C779DC-E732-F34C-A088-6C533677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 Fritz</dc:creator>
  <cp:keywords/>
  <dc:description/>
  <cp:lastModifiedBy>Hagen Fritz</cp:lastModifiedBy>
  <cp:revision>1</cp:revision>
  <dcterms:created xsi:type="dcterms:W3CDTF">2022-01-31T22:39:00Z</dcterms:created>
  <dcterms:modified xsi:type="dcterms:W3CDTF">2022-01-31T23:01:00Z</dcterms:modified>
</cp:coreProperties>
</file>