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3743F" w14:textId="5C3B8A04" w:rsidR="00E23807" w:rsidRPr="00E23807" w:rsidRDefault="00E23807" w:rsidP="00E23807">
      <w:pPr>
        <w:pStyle w:val="Author"/>
        <w:rPr>
          <w:rFonts w:cs="Arial"/>
          <w:b/>
          <w:bCs/>
          <w:kern w:val="28"/>
          <w:sz w:val="28"/>
          <w:szCs w:val="32"/>
        </w:rPr>
      </w:pPr>
      <w:r w:rsidRPr="00E23807">
        <w:rPr>
          <w:rFonts w:cs="Arial"/>
          <w:b/>
          <w:bCs/>
          <w:kern w:val="28"/>
          <w:sz w:val="28"/>
          <w:szCs w:val="32"/>
        </w:rPr>
        <w:t xml:space="preserve">Measuring </w:t>
      </w:r>
      <w:r>
        <w:rPr>
          <w:rFonts w:cs="Arial"/>
          <w:b/>
          <w:bCs/>
          <w:kern w:val="28"/>
          <w:sz w:val="28"/>
          <w:szCs w:val="32"/>
        </w:rPr>
        <w:t>i</w:t>
      </w:r>
      <w:r w:rsidRPr="00E23807">
        <w:rPr>
          <w:rFonts w:cs="Arial"/>
          <w:b/>
          <w:bCs/>
          <w:kern w:val="28"/>
          <w:sz w:val="28"/>
          <w:szCs w:val="32"/>
        </w:rPr>
        <w:t xml:space="preserve">ndoor </w:t>
      </w:r>
      <w:r>
        <w:rPr>
          <w:rFonts w:cs="Arial"/>
          <w:b/>
          <w:bCs/>
          <w:kern w:val="28"/>
          <w:sz w:val="28"/>
          <w:szCs w:val="32"/>
        </w:rPr>
        <w:t>a</w:t>
      </w:r>
      <w:r w:rsidRPr="00E23807">
        <w:rPr>
          <w:rFonts w:cs="Arial"/>
          <w:b/>
          <w:bCs/>
          <w:kern w:val="28"/>
          <w:sz w:val="28"/>
          <w:szCs w:val="32"/>
        </w:rPr>
        <w:t xml:space="preserve">ir </w:t>
      </w:r>
      <w:r>
        <w:rPr>
          <w:rFonts w:cs="Arial"/>
          <w:b/>
          <w:bCs/>
          <w:kern w:val="28"/>
          <w:sz w:val="28"/>
          <w:szCs w:val="32"/>
        </w:rPr>
        <w:t>q</w:t>
      </w:r>
      <w:r w:rsidRPr="00E23807">
        <w:rPr>
          <w:rFonts w:cs="Arial"/>
          <w:b/>
          <w:bCs/>
          <w:kern w:val="28"/>
          <w:sz w:val="28"/>
          <w:szCs w:val="32"/>
        </w:rPr>
        <w:t>uality across Austin, TX with consumer-grade sensors </w:t>
      </w:r>
    </w:p>
    <w:p w14:paraId="101DBEA8" w14:textId="77777777" w:rsidR="00202A9F" w:rsidRPr="000C4033" w:rsidRDefault="00202A9F" w:rsidP="00202A9F">
      <w:pPr>
        <w:pStyle w:val="Author"/>
        <w:rPr>
          <w:lang w:val="en-GB"/>
        </w:rPr>
      </w:pPr>
    </w:p>
    <w:p w14:paraId="6027DC2A" w14:textId="77777777" w:rsidR="00202A9F" w:rsidRPr="00A51DCA" w:rsidRDefault="00202A9F" w:rsidP="00202A9F">
      <w:pPr>
        <w:pStyle w:val="Author"/>
        <w:rPr>
          <w:lang w:val="en-GB"/>
        </w:rPr>
      </w:pPr>
      <w:r>
        <w:rPr>
          <w:lang w:val="en-GB"/>
        </w:rPr>
        <w:t>Hagen Fritz</w:t>
      </w:r>
      <w:proofErr w:type="gramStart"/>
      <w:r w:rsidRPr="00A51DCA">
        <w:rPr>
          <w:vertAlign w:val="superscript"/>
          <w:lang w:val="en-GB"/>
        </w:rPr>
        <w:t>1,*</w:t>
      </w:r>
      <w:proofErr w:type="gramEnd"/>
      <w:r w:rsidRPr="00A51DCA">
        <w:rPr>
          <w:lang w:val="en-GB"/>
        </w:rPr>
        <w:t xml:space="preserve">, </w:t>
      </w:r>
      <w:r>
        <w:rPr>
          <w:lang w:val="en-GB"/>
        </w:rPr>
        <w:t>Kerry Kinney</w:t>
      </w:r>
      <w:r w:rsidRPr="006D4EC8">
        <w:rPr>
          <w:vertAlign w:val="superscript"/>
          <w:lang w:val="en-GB"/>
        </w:rPr>
        <w:t>1</w:t>
      </w:r>
      <w:r>
        <w:rPr>
          <w:lang w:val="en-GB"/>
        </w:rPr>
        <w:t>,</w:t>
      </w:r>
      <w:r w:rsidRPr="00385224">
        <w:rPr>
          <w:lang w:val="en-GB"/>
        </w:rPr>
        <w:t xml:space="preserve"> </w:t>
      </w:r>
      <w:r>
        <w:rPr>
          <w:lang w:val="en-GB"/>
        </w:rPr>
        <w:t>Zoltan Nagy</w:t>
      </w:r>
      <w:r w:rsidRPr="006D4EC8">
        <w:rPr>
          <w:vertAlign w:val="superscript"/>
          <w:lang w:val="en-GB"/>
        </w:rPr>
        <w:t>1</w:t>
      </w:r>
      <w:r w:rsidRPr="00A51DCA">
        <w:rPr>
          <w:vertAlign w:val="superscript"/>
          <w:lang w:val="en-GB"/>
        </w:rPr>
        <w:t xml:space="preserve"> </w:t>
      </w:r>
    </w:p>
    <w:p w14:paraId="74362CBE" w14:textId="77777777" w:rsidR="00202A9F" w:rsidRDefault="00202A9F" w:rsidP="00202A9F">
      <w:pPr>
        <w:pStyle w:val="Author"/>
        <w:rPr>
          <w:vertAlign w:val="superscript"/>
          <w:lang w:val="en-GB"/>
        </w:rPr>
      </w:pPr>
    </w:p>
    <w:p w14:paraId="5D5F6E08" w14:textId="77777777" w:rsidR="00202A9F" w:rsidRPr="00A51DCA" w:rsidRDefault="00202A9F" w:rsidP="00202A9F">
      <w:pPr>
        <w:pStyle w:val="Author"/>
        <w:rPr>
          <w:lang w:val="en-GB"/>
        </w:rPr>
      </w:pPr>
      <w:r w:rsidRPr="00A51DCA">
        <w:rPr>
          <w:vertAlign w:val="superscript"/>
          <w:lang w:val="en-GB"/>
        </w:rPr>
        <w:t>1</w:t>
      </w:r>
      <w:r>
        <w:rPr>
          <w:vertAlign w:val="superscript"/>
          <w:lang w:val="en-GB"/>
        </w:rPr>
        <w:t xml:space="preserve"> </w:t>
      </w:r>
      <w:r>
        <w:rPr>
          <w:lang w:val="en-GB"/>
        </w:rPr>
        <w:t>The University of Texas, Austin, United States</w:t>
      </w:r>
    </w:p>
    <w:p w14:paraId="310D103C" w14:textId="77777777" w:rsidR="00202A9F" w:rsidRPr="000C4033" w:rsidRDefault="00202A9F" w:rsidP="00202A9F">
      <w:pPr>
        <w:pStyle w:val="Author"/>
        <w:rPr>
          <w:lang w:val="en-GB"/>
        </w:rPr>
      </w:pPr>
    </w:p>
    <w:p w14:paraId="5D3493C7" w14:textId="77777777" w:rsidR="00202A9F" w:rsidRDefault="00202A9F" w:rsidP="00202A9F">
      <w:pPr>
        <w:pStyle w:val="Author"/>
        <w:rPr>
          <w:lang w:val="en-GB"/>
        </w:rPr>
      </w:pPr>
      <w:r w:rsidRPr="000C4033">
        <w:rPr>
          <w:i/>
          <w:iCs/>
          <w:vertAlign w:val="superscript"/>
          <w:lang w:val="en-GB"/>
        </w:rPr>
        <w:t>*</w:t>
      </w:r>
      <w:r w:rsidRPr="000C4033">
        <w:rPr>
          <w:i/>
          <w:iCs/>
          <w:lang w:val="en-GB"/>
        </w:rPr>
        <w:t xml:space="preserve">Corresponding email: </w:t>
      </w:r>
      <w:r>
        <w:rPr>
          <w:i/>
          <w:iCs/>
          <w:lang w:val="en-GB"/>
        </w:rPr>
        <w:t>hagenfritz@utexas.edu</w:t>
      </w:r>
    </w:p>
    <w:p w14:paraId="45162C28" w14:textId="77777777" w:rsidR="00202A9F" w:rsidRPr="000C4033" w:rsidRDefault="00202A9F" w:rsidP="00202A9F">
      <w:pPr>
        <w:pStyle w:val="Author"/>
        <w:rPr>
          <w:lang w:val="en-GB"/>
        </w:rPr>
      </w:pPr>
    </w:p>
    <w:p w14:paraId="7EA8E5D3" w14:textId="77777777" w:rsidR="00202A9F" w:rsidRPr="000C4033" w:rsidRDefault="00202A9F" w:rsidP="00202A9F">
      <w:pPr>
        <w:rPr>
          <w:lang w:val="en-GB"/>
        </w:rPr>
      </w:pPr>
    </w:p>
    <w:p w14:paraId="3085D40D" w14:textId="0CC20ED0" w:rsidR="00202A9F" w:rsidRPr="000C4033" w:rsidRDefault="00202A9F" w:rsidP="00202A9F">
      <w:pPr>
        <w:pStyle w:val="Heading1"/>
        <w:rPr>
          <w:lang w:val="en-GB"/>
        </w:rPr>
      </w:pPr>
      <w:r w:rsidRPr="000C4033">
        <w:rPr>
          <w:lang w:val="en-GB"/>
        </w:rPr>
        <w:t>SUMMARY</w:t>
      </w:r>
    </w:p>
    <w:p w14:paraId="34287892" w14:textId="091B8C95" w:rsidR="00202A9F" w:rsidRDefault="00C77DE0" w:rsidP="00202A9F">
      <w:pPr>
        <w:rPr>
          <w:lang w:val="en-GB"/>
        </w:rPr>
      </w:pPr>
      <w:r>
        <w:rPr>
          <w:lang w:val="en-GB"/>
        </w:rPr>
        <w:t>We use</w:t>
      </w:r>
      <w:r w:rsidR="00042B3C">
        <w:rPr>
          <w:lang w:val="en-GB"/>
        </w:rPr>
        <w:t xml:space="preserve"> consumer-grade sensors</w:t>
      </w:r>
      <w:r>
        <w:rPr>
          <w:lang w:val="en-GB"/>
        </w:rPr>
        <w:t xml:space="preserve"> to</w:t>
      </w:r>
      <w:r w:rsidR="00042B3C">
        <w:rPr>
          <w:lang w:val="en-GB"/>
        </w:rPr>
        <w:t xml:space="preserve"> measure four common indoor air pollutants and compare measurements between student-occupied dwellings </w:t>
      </w:r>
      <w:r w:rsidR="00862246">
        <w:rPr>
          <w:lang w:val="en-GB"/>
        </w:rPr>
        <w:t xml:space="preserve">and </w:t>
      </w:r>
      <w:r w:rsidR="00042B3C">
        <w:rPr>
          <w:lang w:val="en-GB"/>
        </w:rPr>
        <w:t xml:space="preserve">those </w:t>
      </w:r>
      <w:r w:rsidR="00862246">
        <w:rPr>
          <w:lang w:val="en-GB"/>
        </w:rPr>
        <w:t>from</w:t>
      </w:r>
      <w:r w:rsidR="00042B3C">
        <w:rPr>
          <w:lang w:val="en-GB"/>
        </w:rPr>
        <w:t xml:space="preserve"> </w:t>
      </w:r>
      <w:r>
        <w:rPr>
          <w:lang w:val="en-GB"/>
        </w:rPr>
        <w:t xml:space="preserve">a vulnerable community. Results indicate that volatile organic compounds and particulate matter are higher in student homes while carbon monoxide and carbon dioxide concentrations are lower. These findings highlight the need for increased ventilation in vulnerable communities and that proximity to outdoor sources is less important than indoor sources </w:t>
      </w:r>
      <w:r w:rsidR="00862246">
        <w:rPr>
          <w:lang w:val="en-GB"/>
        </w:rPr>
        <w:t>when</w:t>
      </w:r>
      <w:r>
        <w:rPr>
          <w:lang w:val="en-GB"/>
        </w:rPr>
        <w:t xml:space="preserve"> characterizing indoor air quality.</w:t>
      </w:r>
    </w:p>
    <w:p w14:paraId="680B2D03" w14:textId="77777777" w:rsidR="00042B3C" w:rsidRDefault="00042B3C" w:rsidP="00202A9F">
      <w:pPr>
        <w:rPr>
          <w:lang w:val="en-GB"/>
        </w:rPr>
      </w:pPr>
    </w:p>
    <w:p w14:paraId="0FA65820" w14:textId="77777777" w:rsidR="00202A9F" w:rsidRPr="0011165E" w:rsidRDefault="00202A9F" w:rsidP="00202A9F">
      <w:pPr>
        <w:pStyle w:val="CommentText"/>
        <w:rPr>
          <w:lang w:val="da-DK"/>
        </w:rPr>
      </w:pPr>
      <w:r w:rsidRPr="00FC038C">
        <w:rPr>
          <w:rStyle w:val="Heading1Char"/>
          <w:lang w:val="en-GB"/>
        </w:rPr>
        <w:t xml:space="preserve">KEYWORDS </w:t>
      </w:r>
    </w:p>
    <w:p w14:paraId="7B8F8A5B" w14:textId="18D3BB91" w:rsidR="00202A9F" w:rsidRPr="000C4033" w:rsidRDefault="000B4F16" w:rsidP="00202A9F">
      <w:pPr>
        <w:rPr>
          <w:lang w:val="en-GB"/>
        </w:rPr>
      </w:pPr>
      <w:r>
        <w:rPr>
          <w:i/>
          <w:lang w:val="en-GB"/>
        </w:rPr>
        <w:t>Low-Cost Sensors, Field Study</w:t>
      </w:r>
    </w:p>
    <w:p w14:paraId="4CBBB0E1" w14:textId="77777777" w:rsidR="00202A9F" w:rsidRPr="000C4033" w:rsidRDefault="00202A9F" w:rsidP="00202A9F">
      <w:pPr>
        <w:rPr>
          <w:lang w:val="en-GB"/>
        </w:rPr>
      </w:pPr>
    </w:p>
    <w:p w14:paraId="577D9043" w14:textId="77777777" w:rsidR="00202A9F" w:rsidRPr="000C4033" w:rsidRDefault="00202A9F" w:rsidP="00202A9F">
      <w:pPr>
        <w:pStyle w:val="Heading1"/>
        <w:rPr>
          <w:lang w:val="en-GB"/>
        </w:rPr>
      </w:pPr>
      <w:r>
        <w:rPr>
          <w:lang w:val="en-GB"/>
        </w:rPr>
        <w:t xml:space="preserve">1 </w:t>
      </w:r>
      <w:r w:rsidRPr="000C4033">
        <w:rPr>
          <w:lang w:val="en-GB"/>
        </w:rPr>
        <w:t>INTRODUCTION</w:t>
      </w:r>
    </w:p>
    <w:p w14:paraId="04645E73" w14:textId="2D7696DE" w:rsidR="00202A9F" w:rsidRDefault="00244BDC" w:rsidP="00202A9F">
      <w:r w:rsidRPr="00883C25">
        <w:t>Proper indoor air quality (IAQ) is paramount to the health of building occupants and is influenced by indoor and nearby outdoor sources in addition to building characteristics such as ventilation rate and age</w:t>
      </w:r>
      <w:r>
        <w:t xml:space="preserve"> </w:t>
      </w:r>
      <w:r w:rsidR="00330597">
        <w:t>(Jones, 1999)</w:t>
      </w:r>
      <w:r w:rsidRPr="00883C25">
        <w:t xml:space="preserve">. </w:t>
      </w:r>
      <w:r w:rsidR="001C09FE">
        <w:t>IAQ in low-income</w:t>
      </w:r>
      <w:r w:rsidR="00E82D39">
        <w:t>, vulnerable</w:t>
      </w:r>
      <w:r w:rsidR="001C09FE">
        <w:t xml:space="preserve"> communities is typically worse compared to more affluent regions primarily due to the proximity to significant outdoor pollutant sources such as </w:t>
      </w:r>
      <w:r w:rsidR="00E82D39">
        <w:t>heavily trafficked</w:t>
      </w:r>
      <w:r w:rsidR="001C09FE">
        <w:t xml:space="preserve"> roadways, </w:t>
      </w:r>
      <w:r w:rsidR="00396186">
        <w:t>dumping sites</w:t>
      </w:r>
      <w:r w:rsidR="001C09FE">
        <w:t xml:space="preserve">, and </w:t>
      </w:r>
      <w:r w:rsidR="00396186">
        <w:t>industrial</w:t>
      </w:r>
      <w:r w:rsidR="001C09FE">
        <w:t xml:space="preserve"> </w:t>
      </w:r>
      <w:r w:rsidR="00396186">
        <w:t>facilities</w:t>
      </w:r>
      <w:r w:rsidR="00330597">
        <w:t xml:space="preserve"> (</w:t>
      </w:r>
      <w:proofErr w:type="spellStart"/>
      <w:r w:rsidR="00330597" w:rsidRPr="00330597">
        <w:t>Adamkiewicz</w:t>
      </w:r>
      <w:proofErr w:type="spellEnd"/>
      <w:r w:rsidR="00330597">
        <w:t xml:space="preserve"> et al., 2012)</w:t>
      </w:r>
      <w:r w:rsidR="001C09FE">
        <w:t>.</w:t>
      </w:r>
      <w:r w:rsidR="00C064AC">
        <w:t xml:space="preserve"> </w:t>
      </w:r>
      <w:r w:rsidRPr="00883C25">
        <w:t xml:space="preserve">In this study we </w:t>
      </w:r>
      <w:r w:rsidR="00E82D39">
        <w:t>compare</w:t>
      </w:r>
      <w:r w:rsidRPr="00883C25">
        <w:t xml:space="preserve"> the IAQ of student</w:t>
      </w:r>
      <w:r w:rsidR="00E82D39">
        <w:t>-</w:t>
      </w:r>
      <w:r w:rsidRPr="00883C25">
        <w:t xml:space="preserve">occupied </w:t>
      </w:r>
      <w:r w:rsidR="00E82D39">
        <w:t>dwellings</w:t>
      </w:r>
      <w:r w:rsidRPr="00883C25">
        <w:t xml:space="preserve"> in central Austin, TX and measured in </w:t>
      </w:r>
      <w:r w:rsidR="00E82D39">
        <w:t>vulnerable</w:t>
      </w:r>
      <w:r w:rsidRPr="00883C25">
        <w:t xml:space="preserve"> communities in east Austin.</w:t>
      </w:r>
    </w:p>
    <w:p w14:paraId="744DF419" w14:textId="77777777" w:rsidR="00244BDC" w:rsidRPr="00743CC6" w:rsidRDefault="00244BDC" w:rsidP="00202A9F">
      <w:pPr>
        <w:rPr>
          <w:lang w:val="en-GB"/>
        </w:rPr>
      </w:pPr>
    </w:p>
    <w:p w14:paraId="19880CA4" w14:textId="655251E3" w:rsidR="00202A9F" w:rsidRPr="000C4033" w:rsidRDefault="00202A9F" w:rsidP="00202A9F">
      <w:pPr>
        <w:pStyle w:val="Heading1"/>
        <w:rPr>
          <w:lang w:val="en-GB"/>
        </w:rPr>
      </w:pPr>
      <w:r>
        <w:rPr>
          <w:lang w:val="en-GB"/>
        </w:rPr>
        <w:t>2 MATERIALS</w:t>
      </w:r>
      <w:r w:rsidR="00C064AC">
        <w:rPr>
          <w:lang w:val="en-GB"/>
        </w:rPr>
        <w:t xml:space="preserve"> AND </w:t>
      </w:r>
      <w:r w:rsidRPr="004D7540">
        <w:rPr>
          <w:lang w:val="en-GB"/>
        </w:rPr>
        <w:t>METHODS</w:t>
      </w:r>
      <w:r w:rsidRPr="000C4033">
        <w:rPr>
          <w:lang w:val="en-GB"/>
        </w:rPr>
        <w:t xml:space="preserve"> </w:t>
      </w:r>
    </w:p>
    <w:p w14:paraId="3BBB668D" w14:textId="41536E0D" w:rsidR="00202A9F" w:rsidRPr="000C4033" w:rsidRDefault="00C064AC" w:rsidP="00C064AC">
      <w:pPr>
        <w:rPr>
          <w:lang w:val="en-GB"/>
        </w:rPr>
      </w:pPr>
      <w:r>
        <w:rPr>
          <w:lang w:val="en-GB"/>
        </w:rPr>
        <w:t xml:space="preserve">We created the Building </w:t>
      </w:r>
      <w:proofErr w:type="spellStart"/>
      <w:r>
        <w:rPr>
          <w:lang w:val="en-GB"/>
        </w:rPr>
        <w:t>EnVironment</w:t>
      </w:r>
      <w:proofErr w:type="spellEnd"/>
      <w:r>
        <w:rPr>
          <w:lang w:val="en-GB"/>
        </w:rPr>
        <w:t xml:space="preserve"> and Occupancy (BEVO) Beacon which leverages multiple </w:t>
      </w:r>
      <w:r w:rsidRPr="00883C25">
        <w:t>low-cost, consumer-grade sensors</w:t>
      </w:r>
      <w:r>
        <w:t xml:space="preserve"> to measure </w:t>
      </w:r>
      <w:r w:rsidR="00862246">
        <w:t>four</w:t>
      </w:r>
      <w:r w:rsidRPr="00883C25">
        <w:t xml:space="preserve"> components of IAQ</w:t>
      </w:r>
      <w:r>
        <w:t>:</w:t>
      </w:r>
      <w:r w:rsidRPr="00883C25">
        <w:t xml:space="preserve"> carbon dioxide</w:t>
      </w:r>
      <w:r>
        <w:t xml:space="preserve"> (CO</w:t>
      </w:r>
      <w:r w:rsidRPr="00AE504D">
        <w:rPr>
          <w:vertAlign w:val="subscript"/>
        </w:rPr>
        <w:t>2</w:t>
      </w:r>
      <w:r>
        <w:t>)</w:t>
      </w:r>
      <w:r w:rsidRPr="00883C25">
        <w:t>, particulate matter</w:t>
      </w:r>
      <w:r>
        <w:t xml:space="preserve"> </w:t>
      </w:r>
      <w:r w:rsidR="007C690D">
        <w:t xml:space="preserve">less than 2.5 </w:t>
      </w:r>
      <m:oMath>
        <m:r>
          <w:rPr>
            <w:rFonts w:ascii="Cambria Math" w:hAnsi="Cambria Math"/>
          </w:rPr>
          <m:t>μ</m:t>
        </m:r>
      </m:oMath>
      <w:r w:rsidR="008D7BEC">
        <w:t xml:space="preserve">m in aerodynamic diameter </w:t>
      </w:r>
      <w:r>
        <w:t>(PM</w:t>
      </w:r>
      <w:r w:rsidR="008D7BEC">
        <w:rPr>
          <w:vertAlign w:val="subscript"/>
        </w:rPr>
        <w:t>2.5</w:t>
      </w:r>
      <w:r>
        <w:t>)</w:t>
      </w:r>
      <w:r w:rsidRPr="00883C25">
        <w:t xml:space="preserve">, </w:t>
      </w:r>
      <w:r w:rsidR="00862246">
        <w:t>total volatile organic compounds (TVOCs), and</w:t>
      </w:r>
      <w:r w:rsidR="00E82D39">
        <w:t xml:space="preserve"> </w:t>
      </w:r>
      <w:r w:rsidRPr="00883C25">
        <w:t>carbon monoxide</w:t>
      </w:r>
      <w:r>
        <w:t xml:space="preserve"> (CO)</w:t>
      </w:r>
      <w:r>
        <w:rPr>
          <w:lang w:val="en-GB"/>
        </w:rPr>
        <w:t xml:space="preserve">. </w:t>
      </w:r>
      <w:r w:rsidR="00324074">
        <w:rPr>
          <w:lang w:val="en-GB"/>
        </w:rPr>
        <w:t>Fourteen</w:t>
      </w:r>
      <w:r>
        <w:rPr>
          <w:lang w:val="en-GB"/>
        </w:rPr>
        <w:t xml:space="preserve"> of these devices were placed in student</w:t>
      </w:r>
      <w:r w:rsidR="00324074">
        <w:rPr>
          <w:lang w:val="en-GB"/>
        </w:rPr>
        <w:t>s’ bedrooms</w:t>
      </w:r>
      <w:r>
        <w:rPr>
          <w:lang w:val="en-GB"/>
        </w:rPr>
        <w:t xml:space="preserve"> in central Austin during the summer of 2020 and allowed to operate for 11 weeks. Upon return,</w:t>
      </w:r>
      <w:r w:rsidR="00AE504D">
        <w:rPr>
          <w:lang w:val="en-GB"/>
        </w:rPr>
        <w:t xml:space="preserve"> devices were</w:t>
      </w:r>
      <w:r>
        <w:rPr>
          <w:lang w:val="en-GB"/>
        </w:rPr>
        <w:t xml:space="preserve"> post-calibrated </w:t>
      </w:r>
      <w:r w:rsidR="00AE504D">
        <w:rPr>
          <w:lang w:val="en-GB"/>
        </w:rPr>
        <w:t>in laboratory settings to correct readings with univariate, linear least-squares regression model</w:t>
      </w:r>
      <w:r w:rsidR="00324074">
        <w:rPr>
          <w:lang w:val="en-GB"/>
        </w:rPr>
        <w:t>s</w:t>
      </w:r>
      <w:r w:rsidR="00AE504D">
        <w:rPr>
          <w:lang w:val="en-GB"/>
        </w:rPr>
        <w:t xml:space="preserve"> unique to each sensor on each device. A subset of </w:t>
      </w:r>
      <w:r w:rsidR="00324074">
        <w:rPr>
          <w:lang w:val="en-GB"/>
        </w:rPr>
        <w:t>four</w:t>
      </w:r>
      <w:r w:rsidR="00AE504D">
        <w:rPr>
          <w:lang w:val="en-GB"/>
        </w:rPr>
        <w:t xml:space="preserve"> of these devices were then deployed to </w:t>
      </w:r>
      <w:r w:rsidR="00862246">
        <w:rPr>
          <w:lang w:val="en-GB"/>
        </w:rPr>
        <w:t xml:space="preserve">living room spaces of </w:t>
      </w:r>
      <w:r w:rsidR="00AE504D">
        <w:rPr>
          <w:lang w:val="en-GB"/>
        </w:rPr>
        <w:t xml:space="preserve">families </w:t>
      </w:r>
      <w:r w:rsidR="00862246">
        <w:rPr>
          <w:lang w:val="en-GB"/>
        </w:rPr>
        <w:t xml:space="preserve">living </w:t>
      </w:r>
      <w:r w:rsidR="00AE504D">
        <w:rPr>
          <w:lang w:val="en-GB"/>
        </w:rPr>
        <w:t xml:space="preserve">in </w:t>
      </w:r>
      <w:r w:rsidR="00324074">
        <w:rPr>
          <w:lang w:val="en-GB"/>
        </w:rPr>
        <w:t>a vulnerable</w:t>
      </w:r>
      <w:r w:rsidR="00AE504D">
        <w:rPr>
          <w:lang w:val="en-GB"/>
        </w:rPr>
        <w:t xml:space="preserve"> communit</w:t>
      </w:r>
      <w:r w:rsidR="00324074">
        <w:rPr>
          <w:lang w:val="en-GB"/>
        </w:rPr>
        <w:t>y</w:t>
      </w:r>
      <w:r w:rsidR="00AE504D">
        <w:rPr>
          <w:lang w:val="en-GB"/>
        </w:rPr>
        <w:t xml:space="preserve"> in east Austin</w:t>
      </w:r>
      <w:r w:rsidR="00862246">
        <w:rPr>
          <w:lang w:val="en-GB"/>
        </w:rPr>
        <w:t>.</w:t>
      </w:r>
    </w:p>
    <w:p w14:paraId="1F5A1068" w14:textId="77777777" w:rsidR="00202A9F" w:rsidRPr="000C4033" w:rsidRDefault="00202A9F" w:rsidP="00202A9F">
      <w:pPr>
        <w:pStyle w:val="Heading2"/>
        <w:rPr>
          <w:lang w:val="en-GB"/>
        </w:rPr>
      </w:pPr>
    </w:p>
    <w:p w14:paraId="67E9A73C" w14:textId="254D365D" w:rsidR="009E3F39" w:rsidRPr="009E3F39" w:rsidRDefault="00202A9F" w:rsidP="009E3F39">
      <w:pPr>
        <w:pStyle w:val="Heading1"/>
        <w:rPr>
          <w:lang w:val="en-GB"/>
        </w:rPr>
      </w:pPr>
      <w:r>
        <w:rPr>
          <w:lang w:val="en-GB"/>
        </w:rPr>
        <w:t xml:space="preserve">3 </w:t>
      </w:r>
      <w:r w:rsidRPr="000C4033">
        <w:rPr>
          <w:lang w:val="en-GB"/>
        </w:rPr>
        <w:t>RESULTS</w:t>
      </w:r>
      <w:r w:rsidR="0045398D">
        <w:rPr>
          <w:lang w:val="en-GB"/>
        </w:rPr>
        <w:t xml:space="preserve"> </w:t>
      </w:r>
    </w:p>
    <w:p w14:paraId="3CB0A629" w14:textId="495F835F" w:rsidR="001C3C6C" w:rsidRPr="001C3C6C" w:rsidRDefault="009E3F39" w:rsidP="001C3C6C">
      <w:r>
        <w:rPr>
          <w:lang w:val="en-GB"/>
        </w:rPr>
        <w:t xml:space="preserve">Figure 1 </w:t>
      </w:r>
      <w:r w:rsidR="005C67A9">
        <w:rPr>
          <w:lang w:val="en-GB"/>
        </w:rPr>
        <w:t>illustrates the distributions of</w:t>
      </w:r>
      <w:r>
        <w:rPr>
          <w:lang w:val="en-GB"/>
        </w:rPr>
        <w:t xml:space="preserve"> IAQ measurements from each study. </w:t>
      </w:r>
      <w:r w:rsidR="005C67A9">
        <w:rPr>
          <w:lang w:val="en-GB"/>
        </w:rPr>
        <w:t>TVOC concentrations are typically higher in student dwellings while CO and CO</w:t>
      </w:r>
      <w:r w:rsidR="005C67A9" w:rsidRPr="00B818A9">
        <w:rPr>
          <w:vertAlign w:val="subscript"/>
          <w:lang w:val="en-GB"/>
        </w:rPr>
        <w:t>2</w:t>
      </w:r>
      <w:r w:rsidR="005C67A9">
        <w:rPr>
          <w:lang w:val="en-GB"/>
        </w:rPr>
        <w:t xml:space="preserve"> measurements are both higher for families in vulnerable communities. PM</w:t>
      </w:r>
      <w:r w:rsidR="005C67A9" w:rsidRPr="00B818A9">
        <w:rPr>
          <w:vertAlign w:val="subscript"/>
          <w:lang w:val="en-GB"/>
        </w:rPr>
        <w:t>2.5</w:t>
      </w:r>
      <w:r w:rsidR="005C67A9">
        <w:rPr>
          <w:lang w:val="en-GB"/>
        </w:rPr>
        <w:t xml:space="preserve"> concentrations are typically higher for the student population, but more instances of extreme measurements </w:t>
      </w:r>
      <w:r w:rsidR="00B818A9">
        <w:rPr>
          <w:lang w:val="en-GB"/>
        </w:rPr>
        <w:t xml:space="preserve">are registered </w:t>
      </w:r>
      <w:r w:rsidR="005C67A9">
        <w:rPr>
          <w:lang w:val="en-GB"/>
        </w:rPr>
        <w:t>for families. Table 1 further summarizes the IAQ measurements from both studies and includes p-value</w:t>
      </w:r>
      <w:r w:rsidR="00324074">
        <w:rPr>
          <w:lang w:val="en-GB"/>
        </w:rPr>
        <w:t>s</w:t>
      </w:r>
      <w:r w:rsidR="005C67A9">
        <w:rPr>
          <w:lang w:val="en-GB"/>
        </w:rPr>
        <w:t xml:space="preserve"> from Mood’s Te</w:t>
      </w:r>
      <w:r w:rsidR="001C3C6C">
        <w:rPr>
          <w:lang w:val="en-GB"/>
        </w:rPr>
        <w:t xml:space="preserve">st to determine if </w:t>
      </w:r>
      <w:r w:rsidR="001C3C6C" w:rsidRPr="001C3C6C">
        <w:t xml:space="preserve">the medians </w:t>
      </w:r>
      <w:r w:rsidR="00B818A9">
        <w:t xml:space="preserve">between distributions </w:t>
      </w:r>
      <w:r w:rsidR="001C3C6C" w:rsidRPr="001C3C6C">
        <w:t>are equal</w:t>
      </w:r>
      <w:r w:rsidR="001C3C6C">
        <w:t xml:space="preserve">. We opt </w:t>
      </w:r>
      <w:r w:rsidR="00B818A9">
        <w:t xml:space="preserve">for this </w:t>
      </w:r>
      <w:r w:rsidR="001C3C6C">
        <w:t xml:space="preserve">test and </w:t>
      </w:r>
      <w:r w:rsidR="00B818A9">
        <w:t xml:space="preserve">to </w:t>
      </w:r>
      <w:r w:rsidR="001C3C6C">
        <w:t>report percentile</w:t>
      </w:r>
      <w:r w:rsidR="00B818A9">
        <w:t>s since</w:t>
      </w:r>
      <w:r w:rsidR="001C3C6C">
        <w:t xml:space="preserve"> IAQ distributions are no</w:t>
      </w:r>
      <w:r w:rsidR="00324074">
        <w:t>n-Gaussian</w:t>
      </w:r>
      <w:r w:rsidR="00B818A9">
        <w:t>.</w:t>
      </w:r>
      <w:r w:rsidR="001C3C6C">
        <w:t xml:space="preserve"> </w:t>
      </w:r>
    </w:p>
    <w:p w14:paraId="596D633B" w14:textId="5028D946" w:rsidR="009E3F39" w:rsidRDefault="005C67A9" w:rsidP="00202A9F">
      <w:pPr>
        <w:rPr>
          <w:lang w:val="en-GB"/>
        </w:rPr>
      </w:pPr>
      <w:r>
        <w:rPr>
          <w:lang w:val="en-GB"/>
        </w:rPr>
        <w:t xml:space="preserve"> </w:t>
      </w:r>
    </w:p>
    <w:p w14:paraId="7FD3BBA0" w14:textId="0986A029" w:rsidR="009E3F39" w:rsidRDefault="0068045A" w:rsidP="00763CC9">
      <w:pPr>
        <w:jc w:val="center"/>
        <w:rPr>
          <w:lang w:val="en-GB"/>
        </w:rPr>
      </w:pPr>
      <w:r>
        <w:rPr>
          <w:noProof/>
          <w:lang w:val="en-GB"/>
        </w:rPr>
        <w:lastRenderedPageBreak/>
        <w:drawing>
          <wp:inline distT="0" distB="0" distL="0" distR="0" wp14:anchorId="0CBAFD78" wp14:editId="4D27D43F">
            <wp:extent cx="5760720" cy="22405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6">
                      <a:extLst>
                        <a:ext uri="{28A0092B-C50C-407E-A947-70E740481C1C}">
                          <a14:useLocalDpi xmlns:a14="http://schemas.microsoft.com/office/drawing/2010/main" val="0"/>
                        </a:ext>
                      </a:extLst>
                    </a:blip>
                    <a:srcRect l="5060" t="8503" r="7754" b="-3459"/>
                    <a:stretch/>
                  </pic:blipFill>
                  <pic:spPr bwMode="auto">
                    <a:xfrm>
                      <a:off x="0" y="0"/>
                      <a:ext cx="5760720" cy="2240553"/>
                    </a:xfrm>
                    <a:prstGeom prst="rect">
                      <a:avLst/>
                    </a:prstGeom>
                    <a:ln>
                      <a:noFill/>
                    </a:ln>
                    <a:extLst>
                      <a:ext uri="{53640926-AAD7-44D8-BBD7-CCE9431645EC}">
                        <a14:shadowObscured xmlns:a14="http://schemas.microsoft.com/office/drawing/2010/main"/>
                      </a:ext>
                    </a:extLst>
                  </pic:spPr>
                </pic:pic>
              </a:graphicData>
            </a:graphic>
          </wp:inline>
        </w:drawing>
      </w:r>
    </w:p>
    <w:p w14:paraId="72CA91E1" w14:textId="3BB82DFC" w:rsidR="009E3F39" w:rsidRPr="005C67A9" w:rsidRDefault="009E3F39" w:rsidP="00202A9F">
      <w:pPr>
        <w:rPr>
          <w:sz w:val="23"/>
          <w:szCs w:val="23"/>
          <w:lang w:val="en-GB"/>
        </w:rPr>
      </w:pPr>
      <w:r w:rsidRPr="005C67A9">
        <w:rPr>
          <w:sz w:val="23"/>
          <w:szCs w:val="23"/>
          <w:lang w:val="en-GB"/>
        </w:rPr>
        <w:t xml:space="preserve">Figure 1. Comparison of hourly measured IAQ parameters between the student population in </w:t>
      </w:r>
      <w:r w:rsidR="00B818A9">
        <w:rPr>
          <w:sz w:val="23"/>
          <w:szCs w:val="23"/>
          <w:lang w:val="en-GB"/>
        </w:rPr>
        <w:t>c</w:t>
      </w:r>
      <w:r w:rsidRPr="005C67A9">
        <w:rPr>
          <w:sz w:val="23"/>
          <w:szCs w:val="23"/>
          <w:lang w:val="en-GB"/>
        </w:rPr>
        <w:t xml:space="preserve">entral Austin and the </w:t>
      </w:r>
      <w:r w:rsidR="005C67A9">
        <w:rPr>
          <w:sz w:val="23"/>
          <w:szCs w:val="23"/>
          <w:lang w:val="en-GB"/>
        </w:rPr>
        <w:t xml:space="preserve">families </w:t>
      </w:r>
      <w:r w:rsidR="00B818A9">
        <w:rPr>
          <w:sz w:val="23"/>
          <w:szCs w:val="23"/>
          <w:lang w:val="en-GB"/>
        </w:rPr>
        <w:t>living in</w:t>
      </w:r>
      <w:r w:rsidR="005C67A9">
        <w:rPr>
          <w:sz w:val="23"/>
          <w:szCs w:val="23"/>
          <w:lang w:val="en-GB"/>
        </w:rPr>
        <w:t xml:space="preserve"> </w:t>
      </w:r>
      <w:r w:rsidR="006A57DF">
        <w:rPr>
          <w:sz w:val="23"/>
          <w:szCs w:val="23"/>
          <w:lang w:val="en-GB"/>
        </w:rPr>
        <w:t>e</w:t>
      </w:r>
      <w:r w:rsidRPr="005C67A9">
        <w:rPr>
          <w:sz w:val="23"/>
          <w:szCs w:val="23"/>
          <w:lang w:val="en-GB"/>
        </w:rPr>
        <w:t xml:space="preserve">ast Austin. </w:t>
      </w:r>
      <w:r w:rsidR="005C67A9">
        <w:rPr>
          <w:sz w:val="23"/>
          <w:szCs w:val="23"/>
          <w:lang w:val="en-GB"/>
        </w:rPr>
        <w:t>Dashed lines represent 25</w:t>
      </w:r>
      <w:r w:rsidR="005C67A9" w:rsidRPr="005C67A9">
        <w:rPr>
          <w:sz w:val="23"/>
          <w:szCs w:val="23"/>
          <w:vertAlign w:val="superscript"/>
          <w:lang w:val="en-GB"/>
        </w:rPr>
        <w:t>th</w:t>
      </w:r>
      <w:r w:rsidR="005C67A9">
        <w:rPr>
          <w:sz w:val="23"/>
          <w:szCs w:val="23"/>
          <w:lang w:val="en-GB"/>
        </w:rPr>
        <w:t>, 50</w:t>
      </w:r>
      <w:r w:rsidR="005C67A9" w:rsidRPr="005C67A9">
        <w:rPr>
          <w:sz w:val="23"/>
          <w:szCs w:val="23"/>
          <w:vertAlign w:val="superscript"/>
          <w:lang w:val="en-GB"/>
        </w:rPr>
        <w:t>th</w:t>
      </w:r>
      <w:r w:rsidR="00B818A9">
        <w:rPr>
          <w:sz w:val="23"/>
          <w:szCs w:val="23"/>
          <w:lang w:val="en-GB"/>
        </w:rPr>
        <w:t xml:space="preserve">, </w:t>
      </w:r>
      <w:r w:rsidR="005C67A9">
        <w:rPr>
          <w:sz w:val="23"/>
          <w:szCs w:val="23"/>
          <w:lang w:val="en-GB"/>
        </w:rPr>
        <w:t>and 75</w:t>
      </w:r>
      <w:r w:rsidR="005C67A9" w:rsidRPr="005C67A9">
        <w:rPr>
          <w:sz w:val="23"/>
          <w:szCs w:val="23"/>
          <w:vertAlign w:val="superscript"/>
          <w:lang w:val="en-GB"/>
        </w:rPr>
        <w:t>th</w:t>
      </w:r>
      <w:r w:rsidR="005C67A9">
        <w:rPr>
          <w:sz w:val="23"/>
          <w:szCs w:val="23"/>
          <w:lang w:val="en-GB"/>
        </w:rPr>
        <w:t xml:space="preserve"> percentiles. </w:t>
      </w:r>
    </w:p>
    <w:p w14:paraId="5A93D1D7" w14:textId="77777777" w:rsidR="00202A9F" w:rsidRPr="000C4033" w:rsidRDefault="00202A9F" w:rsidP="00202A9F">
      <w:pPr>
        <w:rPr>
          <w:lang w:val="en-GB"/>
        </w:rPr>
      </w:pPr>
    </w:p>
    <w:p w14:paraId="73E5FF17" w14:textId="59A10FA1" w:rsidR="00202A9F" w:rsidRPr="000C4033" w:rsidRDefault="00202A9F" w:rsidP="00202A9F">
      <w:pPr>
        <w:rPr>
          <w:lang w:val="en-GB"/>
        </w:rPr>
      </w:pPr>
      <w:bookmarkStart w:id="0" w:name="_Hlk88722350"/>
      <w:r w:rsidRPr="000C4033">
        <w:rPr>
          <w:lang w:val="en-GB"/>
        </w:rPr>
        <w:t xml:space="preserve">Table </w:t>
      </w:r>
      <w:r>
        <w:rPr>
          <w:lang w:val="en-GB"/>
        </w:rPr>
        <w:t>1.</w:t>
      </w:r>
      <w:r w:rsidRPr="003C6811">
        <w:rPr>
          <w:sz w:val="23"/>
          <w:szCs w:val="23"/>
        </w:rPr>
        <w:t xml:space="preserve"> </w:t>
      </w:r>
      <w:bookmarkEnd w:id="0"/>
      <w:r w:rsidR="00763CC9">
        <w:rPr>
          <w:sz w:val="23"/>
          <w:szCs w:val="23"/>
        </w:rPr>
        <w:t xml:space="preserve">Summary statistics of hourly </w:t>
      </w:r>
      <w:r w:rsidR="00BD4A32">
        <w:rPr>
          <w:sz w:val="23"/>
          <w:szCs w:val="23"/>
        </w:rPr>
        <w:t xml:space="preserve">IAQ measurements in </w:t>
      </w:r>
      <w:r w:rsidR="00B818A9">
        <w:rPr>
          <w:sz w:val="23"/>
          <w:szCs w:val="23"/>
        </w:rPr>
        <w:t>c</w:t>
      </w:r>
      <w:r w:rsidR="00BD4A32">
        <w:rPr>
          <w:sz w:val="23"/>
          <w:szCs w:val="23"/>
        </w:rPr>
        <w:t xml:space="preserve">entral Austin versus </w:t>
      </w:r>
      <w:r w:rsidR="00B818A9">
        <w:rPr>
          <w:sz w:val="23"/>
          <w:szCs w:val="23"/>
        </w:rPr>
        <w:t>e</w:t>
      </w:r>
      <w:r w:rsidR="00BD4A32">
        <w:rPr>
          <w:sz w:val="23"/>
          <w:szCs w:val="23"/>
        </w:rPr>
        <w:t>ast Austin</w:t>
      </w:r>
    </w:p>
    <w:tbl>
      <w:tblPr>
        <w:tblW w:w="9180" w:type="dxa"/>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1170"/>
        <w:gridCol w:w="774"/>
        <w:gridCol w:w="792"/>
        <w:gridCol w:w="792"/>
        <w:gridCol w:w="792"/>
        <w:gridCol w:w="270"/>
        <w:gridCol w:w="792"/>
        <w:gridCol w:w="792"/>
        <w:gridCol w:w="792"/>
        <w:gridCol w:w="792"/>
        <w:gridCol w:w="1422"/>
      </w:tblGrid>
      <w:tr w:rsidR="004A285F" w:rsidRPr="00D8160A" w14:paraId="5BD0F899" w14:textId="3D00BD78" w:rsidTr="0068045A">
        <w:trPr>
          <w:trHeight w:val="216"/>
        </w:trPr>
        <w:tc>
          <w:tcPr>
            <w:tcW w:w="1170" w:type="dxa"/>
            <w:vMerge w:val="restart"/>
            <w:vAlign w:val="center"/>
          </w:tcPr>
          <w:p w14:paraId="59781B53" w14:textId="70FADA96" w:rsidR="004A285F" w:rsidRPr="00D8160A" w:rsidRDefault="004A285F" w:rsidP="00763CC9">
            <w:pPr>
              <w:jc w:val="left"/>
              <w:rPr>
                <w:sz w:val="22"/>
                <w:szCs w:val="22"/>
                <w:lang w:val="en-GB"/>
              </w:rPr>
            </w:pPr>
            <w:bookmarkStart w:id="1" w:name="_Hlk88722299"/>
            <w:r>
              <w:rPr>
                <w:sz w:val="22"/>
                <w:szCs w:val="22"/>
                <w:lang w:val="en-GB"/>
              </w:rPr>
              <w:t>IAQ Parameter</w:t>
            </w:r>
          </w:p>
        </w:tc>
        <w:tc>
          <w:tcPr>
            <w:tcW w:w="3150" w:type="dxa"/>
            <w:gridSpan w:val="4"/>
          </w:tcPr>
          <w:p w14:paraId="4189F730" w14:textId="0B95EE31" w:rsidR="004A285F" w:rsidRDefault="004A285F" w:rsidP="00BD4A32">
            <w:pPr>
              <w:jc w:val="center"/>
              <w:rPr>
                <w:sz w:val="22"/>
                <w:szCs w:val="22"/>
                <w:lang w:val="en-GB"/>
              </w:rPr>
            </w:pPr>
            <w:r>
              <w:rPr>
                <w:sz w:val="22"/>
                <w:szCs w:val="22"/>
                <w:lang w:val="en-GB"/>
              </w:rPr>
              <w:t>Central Austin – Students</w:t>
            </w:r>
          </w:p>
        </w:tc>
        <w:tc>
          <w:tcPr>
            <w:tcW w:w="270" w:type="dxa"/>
            <w:tcBorders>
              <w:bottom w:val="nil"/>
            </w:tcBorders>
          </w:tcPr>
          <w:p w14:paraId="41EA86D4" w14:textId="3F051882" w:rsidR="004A285F" w:rsidRDefault="004A285F" w:rsidP="00BD4A32">
            <w:pPr>
              <w:jc w:val="center"/>
              <w:rPr>
                <w:sz w:val="22"/>
                <w:szCs w:val="22"/>
                <w:lang w:val="en-GB"/>
              </w:rPr>
            </w:pPr>
          </w:p>
        </w:tc>
        <w:tc>
          <w:tcPr>
            <w:tcW w:w="3168" w:type="dxa"/>
            <w:gridSpan w:val="4"/>
          </w:tcPr>
          <w:p w14:paraId="2BC3A04D" w14:textId="4E310240" w:rsidR="004A285F" w:rsidRDefault="00B818A9" w:rsidP="00763CC9">
            <w:pPr>
              <w:jc w:val="center"/>
              <w:rPr>
                <w:sz w:val="22"/>
                <w:szCs w:val="22"/>
                <w:lang w:val="en-GB"/>
              </w:rPr>
            </w:pPr>
            <w:r>
              <w:rPr>
                <w:sz w:val="22"/>
                <w:szCs w:val="22"/>
                <w:lang w:val="en-GB"/>
              </w:rPr>
              <w:t>E</w:t>
            </w:r>
            <w:r w:rsidR="004A285F">
              <w:rPr>
                <w:sz w:val="22"/>
                <w:szCs w:val="22"/>
                <w:lang w:val="en-GB"/>
              </w:rPr>
              <w:t>ast Austin – Families</w:t>
            </w:r>
          </w:p>
        </w:tc>
        <w:tc>
          <w:tcPr>
            <w:tcW w:w="1422" w:type="dxa"/>
            <w:vMerge w:val="restart"/>
            <w:vAlign w:val="center"/>
          </w:tcPr>
          <w:p w14:paraId="34725C78" w14:textId="72FF32AE" w:rsidR="004A285F" w:rsidRDefault="0068045A" w:rsidP="00763CC9">
            <w:pPr>
              <w:jc w:val="center"/>
              <w:rPr>
                <w:sz w:val="22"/>
                <w:szCs w:val="22"/>
                <w:lang w:val="en-GB"/>
              </w:rPr>
            </w:pPr>
            <w:r>
              <w:rPr>
                <w:sz w:val="22"/>
                <w:szCs w:val="22"/>
                <w:lang w:val="en-GB"/>
              </w:rPr>
              <w:t>Mood’s Test</w:t>
            </w:r>
          </w:p>
          <w:p w14:paraId="60716E3F" w14:textId="40CCDFA9" w:rsidR="004A285F" w:rsidRDefault="004A285F" w:rsidP="00763CC9">
            <w:pPr>
              <w:jc w:val="center"/>
              <w:rPr>
                <w:sz w:val="22"/>
                <w:szCs w:val="22"/>
                <w:lang w:val="en-GB"/>
              </w:rPr>
            </w:pPr>
            <w:r>
              <w:rPr>
                <w:sz w:val="22"/>
                <w:szCs w:val="22"/>
                <w:lang w:val="en-GB"/>
              </w:rPr>
              <w:t>p-value</w:t>
            </w:r>
          </w:p>
        </w:tc>
      </w:tr>
      <w:tr w:rsidR="004A285F" w:rsidRPr="00D8160A" w14:paraId="286F868B" w14:textId="7A9F55ED" w:rsidTr="0068045A">
        <w:trPr>
          <w:trHeight w:val="297"/>
        </w:trPr>
        <w:tc>
          <w:tcPr>
            <w:tcW w:w="1170" w:type="dxa"/>
            <w:vMerge/>
            <w:tcBorders>
              <w:bottom w:val="single" w:sz="4" w:space="0" w:color="auto"/>
            </w:tcBorders>
          </w:tcPr>
          <w:p w14:paraId="09481DF2" w14:textId="77777777" w:rsidR="004A285F" w:rsidRDefault="004A285F" w:rsidP="00715AEA">
            <w:pPr>
              <w:rPr>
                <w:sz w:val="22"/>
                <w:szCs w:val="22"/>
                <w:lang w:val="en-GB"/>
              </w:rPr>
            </w:pPr>
          </w:p>
        </w:tc>
        <w:tc>
          <w:tcPr>
            <w:tcW w:w="774" w:type="dxa"/>
            <w:tcBorders>
              <w:bottom w:val="single" w:sz="4" w:space="0" w:color="auto"/>
            </w:tcBorders>
          </w:tcPr>
          <w:p w14:paraId="2EB18842" w14:textId="59BE072A" w:rsidR="004A285F" w:rsidRDefault="004A285F" w:rsidP="00715AEA">
            <w:pPr>
              <w:jc w:val="center"/>
              <w:rPr>
                <w:sz w:val="22"/>
                <w:szCs w:val="22"/>
                <w:lang w:val="en-GB"/>
              </w:rPr>
            </w:pPr>
            <w:r>
              <w:rPr>
                <w:sz w:val="22"/>
                <w:szCs w:val="22"/>
                <w:lang w:val="en-GB"/>
              </w:rPr>
              <w:t>n</w:t>
            </w:r>
          </w:p>
        </w:tc>
        <w:tc>
          <w:tcPr>
            <w:tcW w:w="792" w:type="dxa"/>
            <w:tcBorders>
              <w:bottom w:val="single" w:sz="4" w:space="0" w:color="auto"/>
            </w:tcBorders>
          </w:tcPr>
          <w:p w14:paraId="710223A0" w14:textId="731D411C" w:rsidR="004A285F" w:rsidRDefault="004A285F" w:rsidP="00715AEA">
            <w:pPr>
              <w:jc w:val="center"/>
              <w:rPr>
                <w:sz w:val="22"/>
                <w:szCs w:val="22"/>
                <w:lang w:val="en-GB"/>
              </w:rPr>
            </w:pPr>
            <w:r>
              <w:rPr>
                <w:sz w:val="22"/>
                <w:szCs w:val="22"/>
                <w:lang w:val="en-GB"/>
              </w:rPr>
              <w:t>25th</w:t>
            </w:r>
          </w:p>
        </w:tc>
        <w:tc>
          <w:tcPr>
            <w:tcW w:w="792" w:type="dxa"/>
            <w:tcBorders>
              <w:bottom w:val="single" w:sz="4" w:space="0" w:color="auto"/>
            </w:tcBorders>
          </w:tcPr>
          <w:p w14:paraId="6BC5206B" w14:textId="00FDBA6C" w:rsidR="004A285F" w:rsidRDefault="00415B23" w:rsidP="00715AEA">
            <w:pPr>
              <w:jc w:val="center"/>
              <w:rPr>
                <w:sz w:val="22"/>
                <w:szCs w:val="22"/>
                <w:lang w:val="en-GB"/>
              </w:rPr>
            </w:pPr>
            <w:r>
              <w:rPr>
                <w:sz w:val="22"/>
                <w:szCs w:val="22"/>
                <w:lang w:val="en-GB"/>
              </w:rPr>
              <w:t>Median</w:t>
            </w:r>
          </w:p>
        </w:tc>
        <w:tc>
          <w:tcPr>
            <w:tcW w:w="792" w:type="dxa"/>
            <w:tcBorders>
              <w:bottom w:val="single" w:sz="4" w:space="0" w:color="auto"/>
            </w:tcBorders>
          </w:tcPr>
          <w:p w14:paraId="033C9427" w14:textId="3B21A316" w:rsidR="004A285F" w:rsidRDefault="004A285F" w:rsidP="00715AEA">
            <w:pPr>
              <w:jc w:val="center"/>
              <w:rPr>
                <w:sz w:val="22"/>
                <w:szCs w:val="22"/>
                <w:lang w:val="en-GB"/>
              </w:rPr>
            </w:pPr>
            <w:r>
              <w:rPr>
                <w:sz w:val="22"/>
                <w:szCs w:val="22"/>
                <w:lang w:val="en-GB"/>
              </w:rPr>
              <w:t>75th</w:t>
            </w:r>
          </w:p>
        </w:tc>
        <w:tc>
          <w:tcPr>
            <w:tcW w:w="270" w:type="dxa"/>
            <w:tcBorders>
              <w:top w:val="nil"/>
              <w:bottom w:val="single" w:sz="4" w:space="0" w:color="auto"/>
            </w:tcBorders>
          </w:tcPr>
          <w:p w14:paraId="76E30204" w14:textId="64DCBC9C" w:rsidR="004A285F" w:rsidRDefault="004A285F" w:rsidP="00715AEA">
            <w:pPr>
              <w:jc w:val="center"/>
              <w:rPr>
                <w:sz w:val="22"/>
                <w:szCs w:val="22"/>
                <w:lang w:val="en-GB"/>
              </w:rPr>
            </w:pPr>
          </w:p>
        </w:tc>
        <w:tc>
          <w:tcPr>
            <w:tcW w:w="792" w:type="dxa"/>
            <w:tcBorders>
              <w:bottom w:val="single" w:sz="4" w:space="0" w:color="auto"/>
            </w:tcBorders>
          </w:tcPr>
          <w:p w14:paraId="23B96543" w14:textId="5D4338B3" w:rsidR="004A285F" w:rsidRDefault="004A285F" w:rsidP="00715AEA">
            <w:pPr>
              <w:jc w:val="center"/>
              <w:rPr>
                <w:sz w:val="22"/>
                <w:szCs w:val="22"/>
                <w:lang w:val="en-GB"/>
              </w:rPr>
            </w:pPr>
            <w:r>
              <w:rPr>
                <w:sz w:val="22"/>
                <w:szCs w:val="22"/>
                <w:lang w:val="en-GB"/>
              </w:rPr>
              <w:t>n</w:t>
            </w:r>
          </w:p>
        </w:tc>
        <w:tc>
          <w:tcPr>
            <w:tcW w:w="792" w:type="dxa"/>
            <w:tcBorders>
              <w:bottom w:val="single" w:sz="4" w:space="0" w:color="auto"/>
            </w:tcBorders>
          </w:tcPr>
          <w:p w14:paraId="17BB86DB" w14:textId="3B5CB2A1" w:rsidR="004A285F" w:rsidRDefault="004A285F" w:rsidP="00715AEA">
            <w:pPr>
              <w:jc w:val="center"/>
              <w:rPr>
                <w:sz w:val="22"/>
                <w:szCs w:val="22"/>
                <w:lang w:val="en-GB"/>
              </w:rPr>
            </w:pPr>
            <w:r>
              <w:rPr>
                <w:sz w:val="22"/>
                <w:szCs w:val="22"/>
                <w:lang w:val="en-GB"/>
              </w:rPr>
              <w:t>25th</w:t>
            </w:r>
          </w:p>
        </w:tc>
        <w:tc>
          <w:tcPr>
            <w:tcW w:w="792" w:type="dxa"/>
            <w:tcBorders>
              <w:bottom w:val="single" w:sz="4" w:space="0" w:color="auto"/>
            </w:tcBorders>
          </w:tcPr>
          <w:p w14:paraId="01099712" w14:textId="5A400F1D" w:rsidR="004A285F" w:rsidRDefault="00415B23" w:rsidP="00715AEA">
            <w:pPr>
              <w:jc w:val="center"/>
              <w:rPr>
                <w:sz w:val="22"/>
                <w:szCs w:val="22"/>
                <w:lang w:val="en-GB"/>
              </w:rPr>
            </w:pPr>
            <w:r>
              <w:rPr>
                <w:sz w:val="22"/>
                <w:szCs w:val="22"/>
                <w:lang w:val="en-GB"/>
              </w:rPr>
              <w:t>Median</w:t>
            </w:r>
          </w:p>
        </w:tc>
        <w:tc>
          <w:tcPr>
            <w:tcW w:w="792" w:type="dxa"/>
            <w:tcBorders>
              <w:bottom w:val="single" w:sz="4" w:space="0" w:color="auto"/>
            </w:tcBorders>
          </w:tcPr>
          <w:p w14:paraId="3B6CD47E" w14:textId="4D433C68" w:rsidR="004A285F" w:rsidRDefault="004A285F" w:rsidP="00715AEA">
            <w:pPr>
              <w:jc w:val="center"/>
              <w:rPr>
                <w:sz w:val="22"/>
                <w:szCs w:val="22"/>
                <w:lang w:val="en-GB"/>
              </w:rPr>
            </w:pPr>
            <w:r>
              <w:rPr>
                <w:sz w:val="22"/>
                <w:szCs w:val="22"/>
                <w:lang w:val="en-GB"/>
              </w:rPr>
              <w:t>75th</w:t>
            </w:r>
          </w:p>
        </w:tc>
        <w:tc>
          <w:tcPr>
            <w:tcW w:w="1422" w:type="dxa"/>
            <w:vMerge/>
            <w:tcBorders>
              <w:bottom w:val="single" w:sz="4" w:space="0" w:color="auto"/>
            </w:tcBorders>
          </w:tcPr>
          <w:p w14:paraId="4DB06CA4" w14:textId="0AE983AA" w:rsidR="004A285F" w:rsidRDefault="004A285F" w:rsidP="00715AEA">
            <w:pPr>
              <w:jc w:val="center"/>
              <w:rPr>
                <w:sz w:val="22"/>
                <w:szCs w:val="22"/>
                <w:lang w:val="en-GB"/>
              </w:rPr>
            </w:pPr>
          </w:p>
        </w:tc>
      </w:tr>
      <w:tr w:rsidR="001F4CC3" w:rsidRPr="00D8160A" w14:paraId="66C0DF78" w14:textId="77777777" w:rsidTr="0068045A">
        <w:trPr>
          <w:trHeight w:val="297"/>
        </w:trPr>
        <w:tc>
          <w:tcPr>
            <w:tcW w:w="1170" w:type="dxa"/>
            <w:tcBorders>
              <w:bottom w:val="nil"/>
            </w:tcBorders>
          </w:tcPr>
          <w:p w14:paraId="37CD0646" w14:textId="6FFF0C04" w:rsidR="00303E6D" w:rsidRDefault="00303E6D" w:rsidP="00715AEA">
            <w:pPr>
              <w:rPr>
                <w:sz w:val="22"/>
                <w:szCs w:val="22"/>
                <w:lang w:val="en-GB"/>
              </w:rPr>
            </w:pPr>
            <w:r>
              <w:rPr>
                <w:sz w:val="22"/>
                <w:szCs w:val="22"/>
                <w:lang w:val="en-GB"/>
              </w:rPr>
              <w:t>TVOC</w:t>
            </w:r>
          </w:p>
        </w:tc>
        <w:tc>
          <w:tcPr>
            <w:tcW w:w="774" w:type="dxa"/>
            <w:tcBorders>
              <w:bottom w:val="nil"/>
            </w:tcBorders>
          </w:tcPr>
          <w:p w14:paraId="4F76772E" w14:textId="2BBC8F58" w:rsidR="00303E6D" w:rsidRPr="000A51A4" w:rsidRDefault="00303E6D" w:rsidP="00EC45C9">
            <w:pPr>
              <w:jc w:val="center"/>
              <w:rPr>
                <w:sz w:val="22"/>
                <w:szCs w:val="22"/>
              </w:rPr>
            </w:pPr>
            <w:r w:rsidRPr="00EC45C9">
              <w:rPr>
                <w:sz w:val="22"/>
                <w:szCs w:val="22"/>
              </w:rPr>
              <w:t>16598</w:t>
            </w:r>
          </w:p>
        </w:tc>
        <w:tc>
          <w:tcPr>
            <w:tcW w:w="792" w:type="dxa"/>
            <w:tcBorders>
              <w:bottom w:val="nil"/>
            </w:tcBorders>
          </w:tcPr>
          <w:p w14:paraId="5F28E0D9" w14:textId="608BE45C" w:rsidR="00303E6D" w:rsidRDefault="004A285F" w:rsidP="000A51A4">
            <w:pPr>
              <w:jc w:val="center"/>
              <w:rPr>
                <w:sz w:val="22"/>
                <w:szCs w:val="22"/>
              </w:rPr>
            </w:pPr>
            <w:r>
              <w:rPr>
                <w:sz w:val="22"/>
                <w:szCs w:val="22"/>
              </w:rPr>
              <w:t>149.2</w:t>
            </w:r>
          </w:p>
        </w:tc>
        <w:tc>
          <w:tcPr>
            <w:tcW w:w="792" w:type="dxa"/>
            <w:tcBorders>
              <w:bottom w:val="nil"/>
            </w:tcBorders>
          </w:tcPr>
          <w:p w14:paraId="0EC7120E" w14:textId="2744F258" w:rsidR="00303E6D" w:rsidRPr="000A51A4" w:rsidRDefault="00415B23" w:rsidP="000A51A4">
            <w:pPr>
              <w:jc w:val="center"/>
              <w:rPr>
                <w:sz w:val="22"/>
                <w:szCs w:val="22"/>
              </w:rPr>
            </w:pPr>
            <w:r>
              <w:rPr>
                <w:sz w:val="22"/>
                <w:szCs w:val="22"/>
              </w:rPr>
              <w:t>246</w:t>
            </w:r>
            <w:r w:rsidR="00303E6D">
              <w:rPr>
                <w:sz w:val="22"/>
                <w:szCs w:val="22"/>
              </w:rPr>
              <w:t>.</w:t>
            </w:r>
            <w:r>
              <w:rPr>
                <w:sz w:val="22"/>
                <w:szCs w:val="22"/>
              </w:rPr>
              <w:t>1</w:t>
            </w:r>
          </w:p>
        </w:tc>
        <w:tc>
          <w:tcPr>
            <w:tcW w:w="792" w:type="dxa"/>
            <w:tcBorders>
              <w:bottom w:val="nil"/>
            </w:tcBorders>
          </w:tcPr>
          <w:p w14:paraId="607528D5" w14:textId="4BD61ED7" w:rsidR="00303E6D" w:rsidRDefault="004A285F" w:rsidP="00715AEA">
            <w:pPr>
              <w:jc w:val="center"/>
              <w:rPr>
                <w:sz w:val="22"/>
                <w:szCs w:val="22"/>
                <w:lang w:val="en-GB"/>
              </w:rPr>
            </w:pPr>
            <w:r>
              <w:rPr>
                <w:sz w:val="22"/>
                <w:szCs w:val="22"/>
                <w:lang w:val="en-GB"/>
              </w:rPr>
              <w:t>350.0</w:t>
            </w:r>
          </w:p>
        </w:tc>
        <w:tc>
          <w:tcPr>
            <w:tcW w:w="270" w:type="dxa"/>
            <w:tcBorders>
              <w:bottom w:val="nil"/>
            </w:tcBorders>
          </w:tcPr>
          <w:p w14:paraId="61D98D55" w14:textId="460C49B9" w:rsidR="00303E6D" w:rsidRDefault="00303E6D" w:rsidP="00715AEA">
            <w:pPr>
              <w:jc w:val="center"/>
              <w:rPr>
                <w:sz w:val="22"/>
                <w:szCs w:val="22"/>
                <w:lang w:val="en-GB"/>
              </w:rPr>
            </w:pPr>
          </w:p>
        </w:tc>
        <w:tc>
          <w:tcPr>
            <w:tcW w:w="792" w:type="dxa"/>
            <w:tcBorders>
              <w:bottom w:val="nil"/>
            </w:tcBorders>
          </w:tcPr>
          <w:p w14:paraId="060C5D9C" w14:textId="42973BF0" w:rsidR="00303E6D" w:rsidRPr="004A285F" w:rsidRDefault="004A285F" w:rsidP="004A285F">
            <w:pPr>
              <w:jc w:val="center"/>
              <w:rPr>
                <w:sz w:val="22"/>
                <w:szCs w:val="22"/>
              </w:rPr>
            </w:pPr>
            <w:r w:rsidRPr="004A285F">
              <w:rPr>
                <w:sz w:val="22"/>
                <w:szCs w:val="22"/>
              </w:rPr>
              <w:t>1846</w:t>
            </w:r>
          </w:p>
        </w:tc>
        <w:tc>
          <w:tcPr>
            <w:tcW w:w="792" w:type="dxa"/>
            <w:tcBorders>
              <w:bottom w:val="nil"/>
            </w:tcBorders>
          </w:tcPr>
          <w:p w14:paraId="4D11F453" w14:textId="15ABF042" w:rsidR="00303E6D" w:rsidRDefault="00415B23" w:rsidP="00715AEA">
            <w:pPr>
              <w:jc w:val="center"/>
              <w:rPr>
                <w:sz w:val="22"/>
                <w:szCs w:val="22"/>
                <w:lang w:val="en-GB"/>
              </w:rPr>
            </w:pPr>
            <w:r>
              <w:rPr>
                <w:sz w:val="22"/>
                <w:szCs w:val="22"/>
                <w:lang w:val="en-GB"/>
              </w:rPr>
              <w:t>10.9</w:t>
            </w:r>
          </w:p>
        </w:tc>
        <w:tc>
          <w:tcPr>
            <w:tcW w:w="792" w:type="dxa"/>
            <w:tcBorders>
              <w:bottom w:val="nil"/>
            </w:tcBorders>
          </w:tcPr>
          <w:p w14:paraId="236FD7D4" w14:textId="1FD29B04" w:rsidR="00303E6D" w:rsidRDefault="00415B23" w:rsidP="00715AEA">
            <w:pPr>
              <w:jc w:val="center"/>
              <w:rPr>
                <w:sz w:val="22"/>
                <w:szCs w:val="22"/>
                <w:lang w:val="en-GB"/>
              </w:rPr>
            </w:pPr>
            <w:r>
              <w:rPr>
                <w:sz w:val="22"/>
                <w:szCs w:val="22"/>
                <w:lang w:val="en-GB"/>
              </w:rPr>
              <w:t>44.5</w:t>
            </w:r>
          </w:p>
        </w:tc>
        <w:tc>
          <w:tcPr>
            <w:tcW w:w="792" w:type="dxa"/>
            <w:tcBorders>
              <w:bottom w:val="nil"/>
            </w:tcBorders>
          </w:tcPr>
          <w:p w14:paraId="598EAE42" w14:textId="19CC6C47" w:rsidR="00303E6D" w:rsidRDefault="00415B23" w:rsidP="00715AEA">
            <w:pPr>
              <w:jc w:val="center"/>
              <w:rPr>
                <w:sz w:val="22"/>
                <w:szCs w:val="22"/>
                <w:lang w:val="en-GB"/>
              </w:rPr>
            </w:pPr>
            <w:r>
              <w:rPr>
                <w:sz w:val="22"/>
                <w:szCs w:val="22"/>
                <w:lang w:val="en-GB"/>
              </w:rPr>
              <w:t>182.7</w:t>
            </w:r>
          </w:p>
        </w:tc>
        <w:tc>
          <w:tcPr>
            <w:tcW w:w="1422" w:type="dxa"/>
            <w:tcBorders>
              <w:bottom w:val="nil"/>
            </w:tcBorders>
          </w:tcPr>
          <w:p w14:paraId="14B7B5A9" w14:textId="765EE234" w:rsidR="00303E6D" w:rsidRPr="00B818A9" w:rsidRDefault="0068045A" w:rsidP="00715AEA">
            <w:pPr>
              <w:jc w:val="center"/>
              <w:rPr>
                <w:b/>
                <w:bCs/>
                <w:sz w:val="22"/>
                <w:szCs w:val="22"/>
                <w:lang w:val="en-GB"/>
              </w:rPr>
            </w:pPr>
            <w:r w:rsidRPr="00B818A9">
              <w:rPr>
                <w:b/>
                <w:bCs/>
                <w:sz w:val="22"/>
                <w:szCs w:val="22"/>
                <w:lang w:val="en-GB"/>
              </w:rPr>
              <w:t>0.00</w:t>
            </w:r>
          </w:p>
        </w:tc>
      </w:tr>
      <w:tr w:rsidR="001F4CC3" w:rsidRPr="00D8160A" w14:paraId="06A926EA" w14:textId="77777777" w:rsidTr="0068045A">
        <w:trPr>
          <w:trHeight w:val="297"/>
        </w:trPr>
        <w:tc>
          <w:tcPr>
            <w:tcW w:w="1170" w:type="dxa"/>
            <w:tcBorders>
              <w:top w:val="nil"/>
              <w:bottom w:val="nil"/>
            </w:tcBorders>
          </w:tcPr>
          <w:p w14:paraId="1049FEF3" w14:textId="094CB01F" w:rsidR="00303E6D" w:rsidRDefault="00303E6D" w:rsidP="00715AEA">
            <w:pPr>
              <w:rPr>
                <w:sz w:val="22"/>
                <w:szCs w:val="22"/>
                <w:lang w:val="en-GB"/>
              </w:rPr>
            </w:pPr>
            <w:r>
              <w:rPr>
                <w:sz w:val="22"/>
                <w:szCs w:val="22"/>
                <w:lang w:val="en-GB"/>
              </w:rPr>
              <w:t>CO</w:t>
            </w:r>
          </w:p>
        </w:tc>
        <w:tc>
          <w:tcPr>
            <w:tcW w:w="774" w:type="dxa"/>
            <w:tcBorders>
              <w:top w:val="nil"/>
              <w:bottom w:val="nil"/>
            </w:tcBorders>
          </w:tcPr>
          <w:p w14:paraId="01C66987" w14:textId="31C50B1C" w:rsidR="00303E6D" w:rsidRPr="000A51A4" w:rsidRDefault="004A285F" w:rsidP="004A285F">
            <w:pPr>
              <w:jc w:val="center"/>
              <w:rPr>
                <w:sz w:val="22"/>
                <w:szCs w:val="22"/>
              </w:rPr>
            </w:pPr>
            <w:r w:rsidRPr="004A285F">
              <w:rPr>
                <w:sz w:val="22"/>
                <w:szCs w:val="22"/>
              </w:rPr>
              <w:t>16225</w:t>
            </w:r>
          </w:p>
        </w:tc>
        <w:tc>
          <w:tcPr>
            <w:tcW w:w="792" w:type="dxa"/>
            <w:tcBorders>
              <w:top w:val="nil"/>
              <w:bottom w:val="nil"/>
            </w:tcBorders>
          </w:tcPr>
          <w:p w14:paraId="3A8F23D9" w14:textId="4D6355F5" w:rsidR="00303E6D" w:rsidRDefault="004A285F" w:rsidP="00715AEA">
            <w:pPr>
              <w:jc w:val="center"/>
              <w:rPr>
                <w:sz w:val="22"/>
                <w:szCs w:val="22"/>
                <w:lang w:val="en-GB"/>
              </w:rPr>
            </w:pPr>
            <w:r>
              <w:rPr>
                <w:sz w:val="22"/>
                <w:szCs w:val="22"/>
                <w:lang w:val="en-GB"/>
              </w:rPr>
              <w:t>0.0</w:t>
            </w:r>
          </w:p>
        </w:tc>
        <w:tc>
          <w:tcPr>
            <w:tcW w:w="792" w:type="dxa"/>
            <w:tcBorders>
              <w:top w:val="nil"/>
              <w:bottom w:val="nil"/>
            </w:tcBorders>
          </w:tcPr>
          <w:p w14:paraId="33CB0AD4" w14:textId="369F8D3B" w:rsidR="00303E6D" w:rsidRDefault="00415B23" w:rsidP="00715AEA">
            <w:pPr>
              <w:jc w:val="center"/>
              <w:rPr>
                <w:sz w:val="22"/>
                <w:szCs w:val="22"/>
                <w:lang w:val="en-GB"/>
              </w:rPr>
            </w:pPr>
            <w:r>
              <w:rPr>
                <w:sz w:val="22"/>
                <w:szCs w:val="22"/>
                <w:lang w:val="en-GB"/>
              </w:rPr>
              <w:t>0.6</w:t>
            </w:r>
          </w:p>
        </w:tc>
        <w:tc>
          <w:tcPr>
            <w:tcW w:w="792" w:type="dxa"/>
            <w:tcBorders>
              <w:top w:val="nil"/>
              <w:bottom w:val="nil"/>
            </w:tcBorders>
          </w:tcPr>
          <w:p w14:paraId="32886A1A" w14:textId="69119AA1" w:rsidR="00303E6D" w:rsidRDefault="004A285F" w:rsidP="00715AEA">
            <w:pPr>
              <w:jc w:val="center"/>
              <w:rPr>
                <w:sz w:val="22"/>
                <w:szCs w:val="22"/>
                <w:lang w:val="en-GB"/>
              </w:rPr>
            </w:pPr>
            <w:r>
              <w:rPr>
                <w:sz w:val="22"/>
                <w:szCs w:val="22"/>
                <w:lang w:val="en-GB"/>
              </w:rPr>
              <w:t>4.5</w:t>
            </w:r>
          </w:p>
        </w:tc>
        <w:tc>
          <w:tcPr>
            <w:tcW w:w="270" w:type="dxa"/>
            <w:tcBorders>
              <w:top w:val="nil"/>
              <w:bottom w:val="nil"/>
            </w:tcBorders>
          </w:tcPr>
          <w:p w14:paraId="658381C9" w14:textId="09AC5012" w:rsidR="00303E6D" w:rsidRDefault="00303E6D" w:rsidP="00715AEA">
            <w:pPr>
              <w:jc w:val="center"/>
              <w:rPr>
                <w:sz w:val="22"/>
                <w:szCs w:val="22"/>
                <w:lang w:val="en-GB"/>
              </w:rPr>
            </w:pPr>
          </w:p>
        </w:tc>
        <w:tc>
          <w:tcPr>
            <w:tcW w:w="792" w:type="dxa"/>
            <w:tcBorders>
              <w:top w:val="nil"/>
              <w:bottom w:val="nil"/>
            </w:tcBorders>
          </w:tcPr>
          <w:p w14:paraId="0F6B35FF" w14:textId="3F1854EB" w:rsidR="00303E6D" w:rsidRDefault="004A285F" w:rsidP="00715AEA">
            <w:pPr>
              <w:jc w:val="center"/>
              <w:rPr>
                <w:sz w:val="22"/>
                <w:szCs w:val="22"/>
                <w:lang w:val="en-GB"/>
              </w:rPr>
            </w:pPr>
            <w:r>
              <w:rPr>
                <w:sz w:val="22"/>
                <w:szCs w:val="22"/>
                <w:lang w:val="en-GB"/>
              </w:rPr>
              <w:t>1837</w:t>
            </w:r>
          </w:p>
        </w:tc>
        <w:tc>
          <w:tcPr>
            <w:tcW w:w="792" w:type="dxa"/>
            <w:tcBorders>
              <w:top w:val="nil"/>
              <w:bottom w:val="nil"/>
            </w:tcBorders>
          </w:tcPr>
          <w:p w14:paraId="06B10137" w14:textId="080A33AD" w:rsidR="00303E6D" w:rsidRDefault="00415B23" w:rsidP="00715AEA">
            <w:pPr>
              <w:jc w:val="center"/>
              <w:rPr>
                <w:sz w:val="22"/>
                <w:szCs w:val="22"/>
                <w:lang w:val="en-GB"/>
              </w:rPr>
            </w:pPr>
            <w:r>
              <w:rPr>
                <w:sz w:val="22"/>
                <w:szCs w:val="22"/>
                <w:lang w:val="en-GB"/>
              </w:rPr>
              <w:t>7.0</w:t>
            </w:r>
          </w:p>
        </w:tc>
        <w:tc>
          <w:tcPr>
            <w:tcW w:w="792" w:type="dxa"/>
            <w:tcBorders>
              <w:top w:val="nil"/>
              <w:bottom w:val="nil"/>
            </w:tcBorders>
          </w:tcPr>
          <w:p w14:paraId="1F032CFD" w14:textId="510164FF" w:rsidR="00303E6D" w:rsidRDefault="00415B23" w:rsidP="00715AEA">
            <w:pPr>
              <w:jc w:val="center"/>
              <w:rPr>
                <w:sz w:val="22"/>
                <w:szCs w:val="22"/>
                <w:lang w:val="en-GB"/>
              </w:rPr>
            </w:pPr>
            <w:r>
              <w:rPr>
                <w:sz w:val="22"/>
                <w:szCs w:val="22"/>
                <w:lang w:val="en-GB"/>
              </w:rPr>
              <w:t>8.1</w:t>
            </w:r>
          </w:p>
        </w:tc>
        <w:tc>
          <w:tcPr>
            <w:tcW w:w="792" w:type="dxa"/>
            <w:tcBorders>
              <w:top w:val="nil"/>
              <w:bottom w:val="nil"/>
            </w:tcBorders>
          </w:tcPr>
          <w:p w14:paraId="4AEB36C1" w14:textId="2C9E1500" w:rsidR="00303E6D" w:rsidRDefault="00415B23" w:rsidP="00715AEA">
            <w:pPr>
              <w:jc w:val="center"/>
              <w:rPr>
                <w:sz w:val="22"/>
                <w:szCs w:val="22"/>
                <w:lang w:val="en-GB"/>
              </w:rPr>
            </w:pPr>
            <w:r>
              <w:rPr>
                <w:sz w:val="22"/>
                <w:szCs w:val="22"/>
                <w:lang w:val="en-GB"/>
              </w:rPr>
              <w:t>11.2</w:t>
            </w:r>
          </w:p>
        </w:tc>
        <w:tc>
          <w:tcPr>
            <w:tcW w:w="1422" w:type="dxa"/>
            <w:tcBorders>
              <w:top w:val="nil"/>
              <w:bottom w:val="nil"/>
            </w:tcBorders>
          </w:tcPr>
          <w:p w14:paraId="57E1A5F9" w14:textId="08234394" w:rsidR="00303E6D" w:rsidRPr="00B818A9" w:rsidRDefault="0068045A" w:rsidP="00715AEA">
            <w:pPr>
              <w:jc w:val="center"/>
              <w:rPr>
                <w:b/>
                <w:bCs/>
                <w:sz w:val="22"/>
                <w:szCs w:val="22"/>
                <w:lang w:val="en-GB"/>
              </w:rPr>
            </w:pPr>
            <w:r w:rsidRPr="00B818A9">
              <w:rPr>
                <w:b/>
                <w:bCs/>
                <w:sz w:val="22"/>
                <w:szCs w:val="22"/>
                <w:lang w:val="en-GB"/>
              </w:rPr>
              <w:t>0.00</w:t>
            </w:r>
          </w:p>
        </w:tc>
      </w:tr>
      <w:tr w:rsidR="001F4CC3" w:rsidRPr="00D8160A" w14:paraId="7EE6EDC6" w14:textId="77777777" w:rsidTr="0068045A">
        <w:trPr>
          <w:trHeight w:val="297"/>
        </w:trPr>
        <w:tc>
          <w:tcPr>
            <w:tcW w:w="1170" w:type="dxa"/>
            <w:tcBorders>
              <w:top w:val="nil"/>
              <w:bottom w:val="nil"/>
            </w:tcBorders>
          </w:tcPr>
          <w:p w14:paraId="59B991B8" w14:textId="33785E47" w:rsidR="00303E6D" w:rsidRDefault="00303E6D" w:rsidP="00715AEA">
            <w:pPr>
              <w:rPr>
                <w:sz w:val="22"/>
                <w:szCs w:val="22"/>
                <w:lang w:val="en-GB"/>
              </w:rPr>
            </w:pPr>
            <w:r>
              <w:rPr>
                <w:sz w:val="22"/>
                <w:szCs w:val="22"/>
                <w:lang w:val="en-GB"/>
              </w:rPr>
              <w:t>CO</w:t>
            </w:r>
            <w:r w:rsidRPr="00B818A9">
              <w:rPr>
                <w:sz w:val="22"/>
                <w:szCs w:val="22"/>
                <w:vertAlign w:val="subscript"/>
                <w:lang w:val="en-GB"/>
              </w:rPr>
              <w:t>2</w:t>
            </w:r>
          </w:p>
        </w:tc>
        <w:tc>
          <w:tcPr>
            <w:tcW w:w="774" w:type="dxa"/>
            <w:tcBorders>
              <w:top w:val="nil"/>
              <w:bottom w:val="nil"/>
            </w:tcBorders>
          </w:tcPr>
          <w:p w14:paraId="3F1831F6" w14:textId="150EDC57" w:rsidR="00303E6D" w:rsidRPr="000A51A4" w:rsidRDefault="004A285F" w:rsidP="000A51A4">
            <w:pPr>
              <w:jc w:val="center"/>
              <w:rPr>
                <w:sz w:val="22"/>
                <w:szCs w:val="22"/>
              </w:rPr>
            </w:pPr>
            <w:r>
              <w:rPr>
                <w:sz w:val="22"/>
                <w:szCs w:val="22"/>
              </w:rPr>
              <w:t>15927</w:t>
            </w:r>
          </w:p>
        </w:tc>
        <w:tc>
          <w:tcPr>
            <w:tcW w:w="792" w:type="dxa"/>
            <w:tcBorders>
              <w:top w:val="nil"/>
              <w:bottom w:val="nil"/>
            </w:tcBorders>
          </w:tcPr>
          <w:p w14:paraId="792B8C09" w14:textId="452A6E08" w:rsidR="00303E6D" w:rsidRDefault="004A285F" w:rsidP="00715AEA">
            <w:pPr>
              <w:jc w:val="center"/>
              <w:rPr>
                <w:sz w:val="22"/>
                <w:szCs w:val="22"/>
                <w:lang w:val="en-GB"/>
              </w:rPr>
            </w:pPr>
            <w:r>
              <w:rPr>
                <w:sz w:val="22"/>
                <w:szCs w:val="22"/>
                <w:lang w:val="en-GB"/>
              </w:rPr>
              <w:t>618.5</w:t>
            </w:r>
          </w:p>
        </w:tc>
        <w:tc>
          <w:tcPr>
            <w:tcW w:w="792" w:type="dxa"/>
            <w:tcBorders>
              <w:top w:val="nil"/>
              <w:bottom w:val="nil"/>
            </w:tcBorders>
          </w:tcPr>
          <w:p w14:paraId="1E417659" w14:textId="6C25C59F" w:rsidR="00303E6D" w:rsidRDefault="00415B23" w:rsidP="00715AEA">
            <w:pPr>
              <w:jc w:val="center"/>
              <w:rPr>
                <w:sz w:val="22"/>
                <w:szCs w:val="22"/>
                <w:lang w:val="en-GB"/>
              </w:rPr>
            </w:pPr>
            <w:r>
              <w:rPr>
                <w:sz w:val="22"/>
                <w:szCs w:val="22"/>
                <w:lang w:val="en-GB"/>
              </w:rPr>
              <w:t>889</w:t>
            </w:r>
            <w:r w:rsidR="00303E6D">
              <w:rPr>
                <w:sz w:val="22"/>
                <w:szCs w:val="22"/>
                <w:lang w:val="en-GB"/>
              </w:rPr>
              <w:t>.3</w:t>
            </w:r>
          </w:p>
        </w:tc>
        <w:tc>
          <w:tcPr>
            <w:tcW w:w="792" w:type="dxa"/>
            <w:tcBorders>
              <w:top w:val="nil"/>
              <w:bottom w:val="nil"/>
            </w:tcBorders>
          </w:tcPr>
          <w:p w14:paraId="655A6566" w14:textId="666AC83A" w:rsidR="00303E6D" w:rsidRDefault="004A285F" w:rsidP="00715AEA">
            <w:pPr>
              <w:jc w:val="center"/>
              <w:rPr>
                <w:sz w:val="22"/>
                <w:szCs w:val="22"/>
                <w:lang w:val="en-GB"/>
              </w:rPr>
            </w:pPr>
            <w:r>
              <w:rPr>
                <w:sz w:val="22"/>
                <w:szCs w:val="22"/>
                <w:lang w:val="en-GB"/>
              </w:rPr>
              <w:t>1232.6</w:t>
            </w:r>
          </w:p>
        </w:tc>
        <w:tc>
          <w:tcPr>
            <w:tcW w:w="270" w:type="dxa"/>
            <w:tcBorders>
              <w:top w:val="nil"/>
              <w:bottom w:val="nil"/>
            </w:tcBorders>
          </w:tcPr>
          <w:p w14:paraId="69866BFF" w14:textId="365B3DB0" w:rsidR="00303E6D" w:rsidRDefault="00303E6D" w:rsidP="00715AEA">
            <w:pPr>
              <w:jc w:val="center"/>
              <w:rPr>
                <w:sz w:val="22"/>
                <w:szCs w:val="22"/>
                <w:lang w:val="en-GB"/>
              </w:rPr>
            </w:pPr>
          </w:p>
        </w:tc>
        <w:tc>
          <w:tcPr>
            <w:tcW w:w="792" w:type="dxa"/>
            <w:tcBorders>
              <w:top w:val="nil"/>
              <w:bottom w:val="nil"/>
            </w:tcBorders>
          </w:tcPr>
          <w:p w14:paraId="5065EEDA" w14:textId="5151EB55" w:rsidR="00303E6D" w:rsidRDefault="00415B23" w:rsidP="00715AEA">
            <w:pPr>
              <w:jc w:val="center"/>
              <w:rPr>
                <w:sz w:val="22"/>
                <w:szCs w:val="22"/>
                <w:lang w:val="en-GB"/>
              </w:rPr>
            </w:pPr>
            <w:r>
              <w:rPr>
                <w:sz w:val="22"/>
                <w:szCs w:val="22"/>
                <w:lang w:val="en-GB"/>
              </w:rPr>
              <w:t>1900</w:t>
            </w:r>
          </w:p>
        </w:tc>
        <w:tc>
          <w:tcPr>
            <w:tcW w:w="792" w:type="dxa"/>
            <w:tcBorders>
              <w:top w:val="nil"/>
              <w:bottom w:val="nil"/>
            </w:tcBorders>
          </w:tcPr>
          <w:p w14:paraId="38FAA9EA" w14:textId="5D673059" w:rsidR="00303E6D" w:rsidRDefault="00415B23" w:rsidP="00715AEA">
            <w:pPr>
              <w:jc w:val="center"/>
              <w:rPr>
                <w:sz w:val="22"/>
                <w:szCs w:val="22"/>
                <w:lang w:val="en-GB"/>
              </w:rPr>
            </w:pPr>
            <w:r>
              <w:rPr>
                <w:sz w:val="22"/>
                <w:szCs w:val="22"/>
                <w:lang w:val="en-GB"/>
              </w:rPr>
              <w:t>1035.2</w:t>
            </w:r>
          </w:p>
        </w:tc>
        <w:tc>
          <w:tcPr>
            <w:tcW w:w="792" w:type="dxa"/>
            <w:tcBorders>
              <w:top w:val="nil"/>
              <w:bottom w:val="nil"/>
            </w:tcBorders>
          </w:tcPr>
          <w:p w14:paraId="7188F5B6" w14:textId="5381F362" w:rsidR="00303E6D" w:rsidRDefault="00415B23" w:rsidP="00715AEA">
            <w:pPr>
              <w:jc w:val="center"/>
              <w:rPr>
                <w:sz w:val="22"/>
                <w:szCs w:val="22"/>
                <w:lang w:val="en-GB"/>
              </w:rPr>
            </w:pPr>
            <w:r>
              <w:rPr>
                <w:sz w:val="22"/>
                <w:szCs w:val="22"/>
                <w:lang w:val="en-GB"/>
              </w:rPr>
              <w:t>1488.3</w:t>
            </w:r>
          </w:p>
        </w:tc>
        <w:tc>
          <w:tcPr>
            <w:tcW w:w="792" w:type="dxa"/>
            <w:tcBorders>
              <w:top w:val="nil"/>
              <w:bottom w:val="nil"/>
            </w:tcBorders>
          </w:tcPr>
          <w:p w14:paraId="70A5D39F" w14:textId="695B66DC" w:rsidR="00303E6D" w:rsidRDefault="00415B23" w:rsidP="00715AEA">
            <w:pPr>
              <w:jc w:val="center"/>
              <w:rPr>
                <w:sz w:val="22"/>
                <w:szCs w:val="22"/>
                <w:lang w:val="en-GB"/>
              </w:rPr>
            </w:pPr>
            <w:r>
              <w:rPr>
                <w:sz w:val="22"/>
                <w:szCs w:val="22"/>
                <w:lang w:val="en-GB"/>
              </w:rPr>
              <w:t>1906.9</w:t>
            </w:r>
          </w:p>
        </w:tc>
        <w:tc>
          <w:tcPr>
            <w:tcW w:w="1422" w:type="dxa"/>
            <w:tcBorders>
              <w:top w:val="nil"/>
              <w:bottom w:val="nil"/>
            </w:tcBorders>
          </w:tcPr>
          <w:p w14:paraId="2E474320" w14:textId="3EE63236" w:rsidR="00303E6D" w:rsidRPr="00B818A9" w:rsidRDefault="0068045A" w:rsidP="00715AEA">
            <w:pPr>
              <w:jc w:val="center"/>
              <w:rPr>
                <w:b/>
                <w:bCs/>
                <w:sz w:val="22"/>
                <w:szCs w:val="22"/>
                <w:lang w:val="en-GB"/>
              </w:rPr>
            </w:pPr>
            <w:r w:rsidRPr="00B818A9">
              <w:rPr>
                <w:b/>
                <w:bCs/>
                <w:sz w:val="22"/>
                <w:szCs w:val="22"/>
                <w:lang w:val="en-GB"/>
              </w:rPr>
              <w:t>0.00</w:t>
            </w:r>
          </w:p>
        </w:tc>
      </w:tr>
      <w:tr w:rsidR="001F4CC3" w:rsidRPr="00D8160A" w14:paraId="74B8946B" w14:textId="77777777" w:rsidTr="0068045A">
        <w:trPr>
          <w:trHeight w:val="297"/>
        </w:trPr>
        <w:tc>
          <w:tcPr>
            <w:tcW w:w="1170" w:type="dxa"/>
            <w:tcBorders>
              <w:top w:val="nil"/>
            </w:tcBorders>
          </w:tcPr>
          <w:p w14:paraId="7C3CCC3F" w14:textId="36649203" w:rsidR="00303E6D" w:rsidRDefault="00303E6D" w:rsidP="00715AEA">
            <w:pPr>
              <w:rPr>
                <w:sz w:val="22"/>
                <w:szCs w:val="22"/>
                <w:lang w:val="en-GB"/>
              </w:rPr>
            </w:pPr>
            <w:r>
              <w:rPr>
                <w:sz w:val="22"/>
                <w:szCs w:val="22"/>
                <w:lang w:val="en-GB"/>
              </w:rPr>
              <w:t>PM</w:t>
            </w:r>
            <w:r w:rsidRPr="00B818A9">
              <w:rPr>
                <w:sz w:val="22"/>
                <w:szCs w:val="22"/>
                <w:vertAlign w:val="subscript"/>
                <w:lang w:val="en-GB"/>
              </w:rPr>
              <w:t>2.5</w:t>
            </w:r>
          </w:p>
        </w:tc>
        <w:tc>
          <w:tcPr>
            <w:tcW w:w="774" w:type="dxa"/>
            <w:tcBorders>
              <w:top w:val="nil"/>
            </w:tcBorders>
          </w:tcPr>
          <w:p w14:paraId="43748EE3" w14:textId="54ED5A01" w:rsidR="00303E6D" w:rsidRPr="000A51A4" w:rsidRDefault="004A285F" w:rsidP="000A51A4">
            <w:pPr>
              <w:jc w:val="center"/>
              <w:rPr>
                <w:sz w:val="22"/>
                <w:szCs w:val="22"/>
              </w:rPr>
            </w:pPr>
            <w:r>
              <w:rPr>
                <w:sz w:val="22"/>
                <w:szCs w:val="22"/>
              </w:rPr>
              <w:t>17268</w:t>
            </w:r>
          </w:p>
        </w:tc>
        <w:tc>
          <w:tcPr>
            <w:tcW w:w="792" w:type="dxa"/>
            <w:tcBorders>
              <w:top w:val="nil"/>
            </w:tcBorders>
          </w:tcPr>
          <w:p w14:paraId="4C354A6E" w14:textId="58C2F0E1" w:rsidR="00303E6D" w:rsidRDefault="004A285F" w:rsidP="00715AEA">
            <w:pPr>
              <w:jc w:val="center"/>
              <w:rPr>
                <w:sz w:val="22"/>
                <w:szCs w:val="22"/>
                <w:lang w:val="en-GB"/>
              </w:rPr>
            </w:pPr>
            <w:r>
              <w:rPr>
                <w:sz w:val="22"/>
                <w:szCs w:val="22"/>
                <w:lang w:val="en-GB"/>
              </w:rPr>
              <w:t>6.8</w:t>
            </w:r>
          </w:p>
        </w:tc>
        <w:tc>
          <w:tcPr>
            <w:tcW w:w="792" w:type="dxa"/>
            <w:tcBorders>
              <w:top w:val="nil"/>
            </w:tcBorders>
          </w:tcPr>
          <w:p w14:paraId="699A79FF" w14:textId="39BF5A15" w:rsidR="00303E6D" w:rsidRDefault="00303E6D" w:rsidP="00715AEA">
            <w:pPr>
              <w:jc w:val="center"/>
              <w:rPr>
                <w:sz w:val="22"/>
                <w:szCs w:val="22"/>
                <w:lang w:val="en-GB"/>
              </w:rPr>
            </w:pPr>
            <w:r>
              <w:rPr>
                <w:sz w:val="22"/>
                <w:szCs w:val="22"/>
                <w:lang w:val="en-GB"/>
              </w:rPr>
              <w:t>1</w:t>
            </w:r>
            <w:r w:rsidR="00415B23">
              <w:rPr>
                <w:sz w:val="22"/>
                <w:szCs w:val="22"/>
                <w:lang w:val="en-GB"/>
              </w:rPr>
              <w:t>1</w:t>
            </w:r>
            <w:r>
              <w:rPr>
                <w:sz w:val="22"/>
                <w:szCs w:val="22"/>
                <w:lang w:val="en-GB"/>
              </w:rPr>
              <w:t>.</w:t>
            </w:r>
            <w:r w:rsidR="00415B23">
              <w:rPr>
                <w:sz w:val="22"/>
                <w:szCs w:val="22"/>
                <w:lang w:val="en-GB"/>
              </w:rPr>
              <w:t>1</w:t>
            </w:r>
          </w:p>
        </w:tc>
        <w:tc>
          <w:tcPr>
            <w:tcW w:w="792" w:type="dxa"/>
            <w:tcBorders>
              <w:top w:val="nil"/>
            </w:tcBorders>
          </w:tcPr>
          <w:p w14:paraId="4DD2804B" w14:textId="1681F7AF" w:rsidR="00303E6D" w:rsidRDefault="004A285F" w:rsidP="00715AEA">
            <w:pPr>
              <w:jc w:val="center"/>
              <w:rPr>
                <w:sz w:val="22"/>
                <w:szCs w:val="22"/>
                <w:lang w:val="en-GB"/>
              </w:rPr>
            </w:pPr>
            <w:r>
              <w:rPr>
                <w:sz w:val="22"/>
                <w:szCs w:val="22"/>
                <w:lang w:val="en-GB"/>
              </w:rPr>
              <w:t>17.6</w:t>
            </w:r>
          </w:p>
        </w:tc>
        <w:tc>
          <w:tcPr>
            <w:tcW w:w="270" w:type="dxa"/>
            <w:tcBorders>
              <w:top w:val="nil"/>
            </w:tcBorders>
          </w:tcPr>
          <w:p w14:paraId="034EF681" w14:textId="57F0D970" w:rsidR="00303E6D" w:rsidRDefault="00303E6D" w:rsidP="00715AEA">
            <w:pPr>
              <w:jc w:val="center"/>
              <w:rPr>
                <w:sz w:val="22"/>
                <w:szCs w:val="22"/>
                <w:lang w:val="en-GB"/>
              </w:rPr>
            </w:pPr>
          </w:p>
        </w:tc>
        <w:tc>
          <w:tcPr>
            <w:tcW w:w="792" w:type="dxa"/>
            <w:tcBorders>
              <w:top w:val="nil"/>
            </w:tcBorders>
          </w:tcPr>
          <w:p w14:paraId="66471C2D" w14:textId="031819FC" w:rsidR="00303E6D" w:rsidRDefault="00415B23" w:rsidP="00715AEA">
            <w:pPr>
              <w:jc w:val="center"/>
              <w:rPr>
                <w:sz w:val="22"/>
                <w:szCs w:val="22"/>
                <w:lang w:val="en-GB"/>
              </w:rPr>
            </w:pPr>
            <w:r>
              <w:rPr>
                <w:sz w:val="22"/>
                <w:szCs w:val="22"/>
                <w:lang w:val="en-GB"/>
              </w:rPr>
              <w:t>1843</w:t>
            </w:r>
          </w:p>
        </w:tc>
        <w:tc>
          <w:tcPr>
            <w:tcW w:w="792" w:type="dxa"/>
            <w:tcBorders>
              <w:top w:val="nil"/>
            </w:tcBorders>
          </w:tcPr>
          <w:p w14:paraId="773ED388" w14:textId="1A9563D2" w:rsidR="00303E6D" w:rsidRDefault="00415B23" w:rsidP="00715AEA">
            <w:pPr>
              <w:jc w:val="center"/>
              <w:rPr>
                <w:sz w:val="22"/>
                <w:szCs w:val="22"/>
                <w:lang w:val="en-GB"/>
              </w:rPr>
            </w:pPr>
            <w:r>
              <w:rPr>
                <w:sz w:val="22"/>
                <w:szCs w:val="22"/>
                <w:lang w:val="en-GB"/>
              </w:rPr>
              <w:t>3.9</w:t>
            </w:r>
          </w:p>
        </w:tc>
        <w:tc>
          <w:tcPr>
            <w:tcW w:w="792" w:type="dxa"/>
            <w:tcBorders>
              <w:top w:val="nil"/>
            </w:tcBorders>
          </w:tcPr>
          <w:p w14:paraId="5110E3CE" w14:textId="640D6EF3" w:rsidR="00303E6D" w:rsidRDefault="00415B23" w:rsidP="00715AEA">
            <w:pPr>
              <w:jc w:val="center"/>
              <w:rPr>
                <w:sz w:val="22"/>
                <w:szCs w:val="22"/>
                <w:lang w:val="en-GB"/>
              </w:rPr>
            </w:pPr>
            <w:r>
              <w:rPr>
                <w:sz w:val="22"/>
                <w:szCs w:val="22"/>
                <w:lang w:val="en-GB"/>
              </w:rPr>
              <w:t>6.4</w:t>
            </w:r>
          </w:p>
        </w:tc>
        <w:tc>
          <w:tcPr>
            <w:tcW w:w="792" w:type="dxa"/>
            <w:tcBorders>
              <w:top w:val="nil"/>
            </w:tcBorders>
          </w:tcPr>
          <w:p w14:paraId="369F985D" w14:textId="647BA7E1" w:rsidR="00303E6D" w:rsidRDefault="00415B23" w:rsidP="00715AEA">
            <w:pPr>
              <w:jc w:val="center"/>
              <w:rPr>
                <w:sz w:val="22"/>
                <w:szCs w:val="22"/>
                <w:lang w:val="en-GB"/>
              </w:rPr>
            </w:pPr>
            <w:r>
              <w:rPr>
                <w:sz w:val="22"/>
                <w:szCs w:val="22"/>
                <w:lang w:val="en-GB"/>
              </w:rPr>
              <w:t>16.2</w:t>
            </w:r>
          </w:p>
        </w:tc>
        <w:tc>
          <w:tcPr>
            <w:tcW w:w="1422" w:type="dxa"/>
            <w:tcBorders>
              <w:top w:val="nil"/>
            </w:tcBorders>
          </w:tcPr>
          <w:p w14:paraId="10004089" w14:textId="11E4DE58" w:rsidR="00303E6D" w:rsidRPr="00B818A9" w:rsidRDefault="0068045A" w:rsidP="00715AEA">
            <w:pPr>
              <w:jc w:val="center"/>
              <w:rPr>
                <w:b/>
                <w:bCs/>
                <w:sz w:val="22"/>
                <w:szCs w:val="22"/>
                <w:lang w:val="en-GB"/>
              </w:rPr>
            </w:pPr>
            <w:r w:rsidRPr="00B818A9">
              <w:rPr>
                <w:b/>
                <w:bCs/>
                <w:sz w:val="22"/>
                <w:szCs w:val="22"/>
                <w:lang w:val="en-GB"/>
              </w:rPr>
              <w:t>0.00</w:t>
            </w:r>
          </w:p>
        </w:tc>
      </w:tr>
      <w:bookmarkEnd w:id="1"/>
    </w:tbl>
    <w:p w14:paraId="50BE43D6" w14:textId="77777777" w:rsidR="00202A9F" w:rsidRPr="000C4033" w:rsidRDefault="00202A9F" w:rsidP="00202A9F">
      <w:pPr>
        <w:rPr>
          <w:lang w:val="en-GB"/>
        </w:rPr>
      </w:pPr>
    </w:p>
    <w:p w14:paraId="2E3D4295" w14:textId="77777777" w:rsidR="00202A9F" w:rsidRPr="000C4033" w:rsidRDefault="00202A9F" w:rsidP="00202A9F">
      <w:pPr>
        <w:pStyle w:val="Heading1"/>
        <w:rPr>
          <w:lang w:val="en-GB"/>
        </w:rPr>
      </w:pPr>
      <w:r>
        <w:rPr>
          <w:lang w:val="en-GB"/>
        </w:rPr>
        <w:t xml:space="preserve">4 </w:t>
      </w:r>
      <w:proofErr w:type="gramStart"/>
      <w:r w:rsidRPr="000C4033">
        <w:rPr>
          <w:lang w:val="en-GB"/>
        </w:rPr>
        <w:t>DISCUSSION</w:t>
      </w:r>
      <w:proofErr w:type="gramEnd"/>
    </w:p>
    <w:p w14:paraId="7632F095" w14:textId="28D8386C" w:rsidR="00202A9F" w:rsidRPr="000C4033" w:rsidRDefault="00A00D0A" w:rsidP="00202A9F">
      <w:pPr>
        <w:rPr>
          <w:lang w:val="en-GB"/>
        </w:rPr>
      </w:pPr>
      <w:r>
        <w:t>Interestingly, the TVOC and PM</w:t>
      </w:r>
      <w:r w:rsidRPr="00B818A9">
        <w:rPr>
          <w:vertAlign w:val="subscript"/>
        </w:rPr>
        <w:t>2.5</w:t>
      </w:r>
      <w:r>
        <w:t xml:space="preserve"> concentrations are lower in </w:t>
      </w:r>
      <w:r w:rsidR="006A57DF">
        <w:t>e</w:t>
      </w:r>
      <w:r>
        <w:t xml:space="preserve">ast Austin despite the community’s proximity to outdoor sources for both these pollutants. The difference in </w:t>
      </w:r>
      <w:r w:rsidR="000009F2">
        <w:t xml:space="preserve">median </w:t>
      </w:r>
      <w:r>
        <w:t xml:space="preserve">CO concentrations </w:t>
      </w:r>
      <w:r w:rsidR="000009F2">
        <w:t xml:space="preserve">between studies </w:t>
      </w:r>
      <w:r>
        <w:t xml:space="preserve">is significant and most likely a result </w:t>
      </w:r>
      <w:r w:rsidR="00095D95">
        <w:t>of</w:t>
      </w:r>
      <w:r>
        <w:t xml:space="preserve"> families </w:t>
      </w:r>
      <w:r w:rsidR="00095D95">
        <w:t>who</w:t>
      </w:r>
      <w:r>
        <w:t xml:space="preserve"> cook larger meals </w:t>
      </w:r>
      <w:r w:rsidR="00095D95">
        <w:t>more frequently with</w:t>
      </w:r>
      <w:r>
        <w:t xml:space="preserve"> gas</w:t>
      </w:r>
      <w:r w:rsidR="00095D95">
        <w:t>-powered</w:t>
      </w:r>
      <w:r>
        <w:t xml:space="preserve"> </w:t>
      </w:r>
      <w:r w:rsidR="00095D95">
        <w:t xml:space="preserve">appliances. </w:t>
      </w:r>
      <w:r w:rsidR="000009F2">
        <w:t>CO</w:t>
      </w:r>
      <w:r w:rsidR="000009F2" w:rsidRPr="00B818A9">
        <w:rPr>
          <w:vertAlign w:val="subscript"/>
        </w:rPr>
        <w:t>2</w:t>
      </w:r>
      <w:r w:rsidR="000009F2">
        <w:t xml:space="preserve"> concentrations are also markedly different because dwellings in </w:t>
      </w:r>
      <w:r w:rsidR="00B818A9">
        <w:t>e</w:t>
      </w:r>
      <w:r w:rsidR="000009F2">
        <w:t xml:space="preserve">ast Austin are more densely occupied. </w:t>
      </w:r>
      <w:r w:rsidR="003772F5">
        <w:t xml:space="preserve">Still these measurements indicate a need for increased ventilation and perhaps indicate other pollutants that we did not monitor are also elevated in </w:t>
      </w:r>
      <w:r w:rsidR="00B818A9">
        <w:t>e</w:t>
      </w:r>
      <w:r w:rsidR="003772F5">
        <w:t xml:space="preserve">ast Austin relative to </w:t>
      </w:r>
      <w:r w:rsidR="00B818A9">
        <w:t>c</w:t>
      </w:r>
      <w:r w:rsidR="003772F5">
        <w:t xml:space="preserve">entral Austin. </w:t>
      </w:r>
    </w:p>
    <w:p w14:paraId="1B447D4A" w14:textId="77777777" w:rsidR="00202A9F" w:rsidRPr="000C4033" w:rsidRDefault="00202A9F" w:rsidP="00202A9F">
      <w:pPr>
        <w:rPr>
          <w:lang w:val="en-GB"/>
        </w:rPr>
      </w:pPr>
    </w:p>
    <w:p w14:paraId="2D874EC9" w14:textId="77777777" w:rsidR="00202A9F" w:rsidRPr="000C4033" w:rsidRDefault="00202A9F" w:rsidP="00202A9F">
      <w:pPr>
        <w:pStyle w:val="Heading1"/>
        <w:rPr>
          <w:lang w:val="en-GB"/>
        </w:rPr>
      </w:pPr>
      <w:r>
        <w:rPr>
          <w:lang w:val="en-GB"/>
        </w:rPr>
        <w:t xml:space="preserve">5 </w:t>
      </w:r>
      <w:r w:rsidRPr="000C4033">
        <w:rPr>
          <w:lang w:val="en-GB"/>
        </w:rPr>
        <w:t>CONCLUSION</w:t>
      </w:r>
      <w:r>
        <w:rPr>
          <w:lang w:val="en-GB"/>
        </w:rPr>
        <w:t>S</w:t>
      </w:r>
    </w:p>
    <w:p w14:paraId="2C363018" w14:textId="119BEA5F" w:rsidR="00202A9F" w:rsidRDefault="00E767A7" w:rsidP="00202A9F">
      <w:r w:rsidRPr="00883C25">
        <w:t xml:space="preserve">This study highlights the </w:t>
      </w:r>
      <w:r w:rsidR="00095D95">
        <w:t>use</w:t>
      </w:r>
      <w:r w:rsidRPr="00883C25">
        <w:t xml:space="preserve"> of consumer-grade sensors for monitoring components of IAQ</w:t>
      </w:r>
      <w:r w:rsidR="00095D95">
        <w:t xml:space="preserve"> </w:t>
      </w:r>
      <w:r w:rsidRPr="00883C25">
        <w:t xml:space="preserve">while also underscoring the need for </w:t>
      </w:r>
      <w:r w:rsidR="00095D95">
        <w:t>vulnerable</w:t>
      </w:r>
      <w:r w:rsidRPr="00883C25">
        <w:t xml:space="preserve"> communities to be properly informed and protected</w:t>
      </w:r>
      <w:r w:rsidR="00095D95">
        <w:t xml:space="preserve"> from adverse effects associated with poor IAQ. </w:t>
      </w:r>
      <w:r w:rsidR="00E23807">
        <w:t xml:space="preserve">Results also indicate that indoor sources are more relevant when </w:t>
      </w:r>
      <w:r w:rsidR="00F67583">
        <w:t>characterizing IAQ than a home’s proximity to outdoor sources.</w:t>
      </w:r>
    </w:p>
    <w:p w14:paraId="77A347BF" w14:textId="77777777" w:rsidR="00E767A7" w:rsidRPr="000C4033" w:rsidRDefault="00E767A7" w:rsidP="00202A9F">
      <w:pPr>
        <w:rPr>
          <w:lang w:val="en-GB"/>
        </w:rPr>
      </w:pPr>
    </w:p>
    <w:p w14:paraId="35DFC69C" w14:textId="77777777" w:rsidR="00202A9F" w:rsidRPr="000C4033" w:rsidRDefault="00202A9F" w:rsidP="00202A9F">
      <w:pPr>
        <w:pStyle w:val="Heading1"/>
        <w:rPr>
          <w:lang w:val="en-GB"/>
        </w:rPr>
      </w:pPr>
      <w:r w:rsidRPr="000C4033">
        <w:rPr>
          <w:lang w:val="en-GB"/>
        </w:rPr>
        <w:t>ACKNOWLEDGEMENT</w:t>
      </w:r>
    </w:p>
    <w:p w14:paraId="64D329DC" w14:textId="100218CA" w:rsidR="00202A9F" w:rsidRPr="000C4033" w:rsidRDefault="005974FD" w:rsidP="00202A9F">
      <w:pPr>
        <w:rPr>
          <w:lang w:val="en-GB"/>
        </w:rPr>
      </w:pPr>
      <w:r w:rsidRPr="005974FD">
        <w:rPr>
          <w:lang w:val="en-GB"/>
        </w:rPr>
        <w:t>This work was supported by Whole Communities—Whole Health, a research grand challenge at the University of Texas at Austin.</w:t>
      </w:r>
    </w:p>
    <w:p w14:paraId="13F9B8F0" w14:textId="77777777" w:rsidR="00202A9F" w:rsidRPr="000C4033" w:rsidRDefault="00202A9F" w:rsidP="00202A9F">
      <w:pPr>
        <w:rPr>
          <w:lang w:val="en-GB"/>
        </w:rPr>
      </w:pPr>
    </w:p>
    <w:p w14:paraId="1218066E" w14:textId="3E556DD6" w:rsidR="00330597" w:rsidRPr="00324074" w:rsidRDefault="00202A9F" w:rsidP="00324074">
      <w:pPr>
        <w:pStyle w:val="Heading1"/>
        <w:rPr>
          <w:lang w:val="en-GB"/>
        </w:rPr>
      </w:pPr>
      <w:r>
        <w:rPr>
          <w:lang w:val="en-GB"/>
        </w:rPr>
        <w:t xml:space="preserve">6 </w:t>
      </w:r>
      <w:r w:rsidRPr="000C4033">
        <w:rPr>
          <w:lang w:val="en-GB"/>
        </w:rPr>
        <w:t xml:space="preserve">REFERENCES </w:t>
      </w:r>
    </w:p>
    <w:p w14:paraId="45605E3D" w14:textId="199A1906" w:rsidR="00330597" w:rsidRPr="00330597" w:rsidRDefault="00330597" w:rsidP="00330597">
      <w:pPr>
        <w:ind w:left="360" w:hanging="360"/>
      </w:pPr>
      <w:r w:rsidRPr="00330597">
        <w:t>Jones, A. P. (1999). Indoor air quality and health. </w:t>
      </w:r>
      <w:r w:rsidRPr="00330597">
        <w:rPr>
          <w:i/>
          <w:iCs/>
        </w:rPr>
        <w:t xml:space="preserve">Atmospheric </w:t>
      </w:r>
      <w:r>
        <w:rPr>
          <w:i/>
          <w:iCs/>
        </w:rPr>
        <w:t>E</w:t>
      </w:r>
      <w:r w:rsidRPr="00330597">
        <w:rPr>
          <w:i/>
          <w:iCs/>
        </w:rPr>
        <w:t>nvironment</w:t>
      </w:r>
      <w:r w:rsidRPr="00330597">
        <w:t>, </w:t>
      </w:r>
      <w:r w:rsidRPr="00330597">
        <w:rPr>
          <w:i/>
          <w:iCs/>
        </w:rPr>
        <w:t>33</w:t>
      </w:r>
      <w:r w:rsidRPr="00330597">
        <w:t>(28), 4535-4564.</w:t>
      </w:r>
    </w:p>
    <w:p w14:paraId="23EA9ADC" w14:textId="01851C89" w:rsidR="004829F1" w:rsidRPr="00202A9F" w:rsidRDefault="00330597" w:rsidP="00A00D0A">
      <w:pPr>
        <w:ind w:left="360" w:hanging="360"/>
      </w:pPr>
      <w:proofErr w:type="spellStart"/>
      <w:r w:rsidRPr="00330597">
        <w:t>Adamkiewicz</w:t>
      </w:r>
      <w:proofErr w:type="spellEnd"/>
      <w:r w:rsidRPr="00330597">
        <w:t xml:space="preserve">, G., </w:t>
      </w:r>
      <w:proofErr w:type="spellStart"/>
      <w:r w:rsidRPr="00330597">
        <w:t>Zota</w:t>
      </w:r>
      <w:proofErr w:type="spellEnd"/>
      <w:r w:rsidRPr="00330597">
        <w:t>, A. R., Fabian, M. P., Chahine, T., Julien, R., Spengler, J. D., &amp; Levy, J. I. (2011). Moving environmental justice indoors: understanding structural influences on residential exposure patterns in low-income communities. </w:t>
      </w:r>
      <w:r w:rsidRPr="00330597">
        <w:rPr>
          <w:i/>
          <w:iCs/>
        </w:rPr>
        <w:t>American Journal of Public Health</w:t>
      </w:r>
      <w:r w:rsidRPr="00330597">
        <w:t>, </w:t>
      </w:r>
      <w:r w:rsidRPr="00330597">
        <w:rPr>
          <w:i/>
          <w:iCs/>
        </w:rPr>
        <w:t>101</w:t>
      </w:r>
      <w:r w:rsidRPr="00330597">
        <w:t>(S1), S238-S245.</w:t>
      </w:r>
    </w:p>
    <w:sectPr w:rsidR="004829F1" w:rsidRPr="00202A9F" w:rsidSect="00202A9F">
      <w:type w:val="continuous"/>
      <w:pgSz w:w="11906" w:h="16838" w:code="9"/>
      <w:pgMar w:top="1411" w:right="1411" w:bottom="1411" w:left="1411"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65E3B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5F0E2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7DE80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97AE24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A70112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86C98D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08AED9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17E60C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96AACE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C3C46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F4E0F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96C5B15"/>
    <w:multiLevelType w:val="hybridMultilevel"/>
    <w:tmpl w:val="F8ECFD48"/>
    <w:lvl w:ilvl="0" w:tplc="040B0005">
      <w:start w:val="1"/>
      <w:numFmt w:val="bullet"/>
      <w:lvlText w:val=""/>
      <w:lvlJc w:val="left"/>
      <w:pPr>
        <w:tabs>
          <w:tab w:val="num" w:pos="360"/>
        </w:tabs>
        <w:ind w:left="360" w:hanging="360"/>
      </w:pPr>
      <w:rPr>
        <w:rFonts w:ascii="Wingdings" w:hAnsi="Wingdings" w:hint="default"/>
      </w:rPr>
    </w:lvl>
    <w:lvl w:ilvl="1" w:tplc="040B0003" w:tentative="1">
      <w:start w:val="1"/>
      <w:numFmt w:val="bullet"/>
      <w:lvlText w:val="o"/>
      <w:lvlJc w:val="left"/>
      <w:pPr>
        <w:tabs>
          <w:tab w:val="num" w:pos="1080"/>
        </w:tabs>
        <w:ind w:left="1080" w:hanging="360"/>
      </w:pPr>
      <w:rPr>
        <w:rFonts w:ascii="Courier New" w:hAnsi="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70E1959"/>
    <w:multiLevelType w:val="hybridMultilevel"/>
    <w:tmpl w:val="1C44A89E"/>
    <w:lvl w:ilvl="0" w:tplc="040B0005">
      <w:start w:val="1"/>
      <w:numFmt w:val="bullet"/>
      <w:lvlText w:val=""/>
      <w:lvlJc w:val="left"/>
      <w:pPr>
        <w:tabs>
          <w:tab w:val="num" w:pos="360"/>
        </w:tabs>
        <w:ind w:left="360" w:hanging="360"/>
      </w:pPr>
      <w:rPr>
        <w:rFonts w:ascii="Wingdings" w:hAnsi="Wingdings" w:hint="default"/>
      </w:rPr>
    </w:lvl>
    <w:lvl w:ilvl="1" w:tplc="040B0003" w:tentative="1">
      <w:start w:val="1"/>
      <w:numFmt w:val="bullet"/>
      <w:lvlText w:val="o"/>
      <w:lvlJc w:val="left"/>
      <w:pPr>
        <w:tabs>
          <w:tab w:val="num" w:pos="1080"/>
        </w:tabs>
        <w:ind w:left="1080" w:hanging="360"/>
      </w:pPr>
      <w:rPr>
        <w:rFonts w:ascii="Courier New" w:hAnsi="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noPunctuationKerning/>
  <w:characterSpacingControl w:val="doNotCompress"/>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76"/>
    <w:rsid w:val="000009F2"/>
    <w:rsid w:val="00017366"/>
    <w:rsid w:val="000219DC"/>
    <w:rsid w:val="00042B3C"/>
    <w:rsid w:val="000443A7"/>
    <w:rsid w:val="00063190"/>
    <w:rsid w:val="00074E08"/>
    <w:rsid w:val="00095D95"/>
    <w:rsid w:val="000A027C"/>
    <w:rsid w:val="000A51A4"/>
    <w:rsid w:val="000B1BEE"/>
    <w:rsid w:val="000B4F16"/>
    <w:rsid w:val="000C4033"/>
    <w:rsid w:val="000D5C17"/>
    <w:rsid w:val="000F0E63"/>
    <w:rsid w:val="000F639D"/>
    <w:rsid w:val="001041A1"/>
    <w:rsid w:val="00104774"/>
    <w:rsid w:val="00105E8E"/>
    <w:rsid w:val="00106424"/>
    <w:rsid w:val="0011165E"/>
    <w:rsid w:val="0017395E"/>
    <w:rsid w:val="00176311"/>
    <w:rsid w:val="001B6572"/>
    <w:rsid w:val="001C09FE"/>
    <w:rsid w:val="001C3C6C"/>
    <w:rsid w:val="001F126C"/>
    <w:rsid w:val="001F4CC3"/>
    <w:rsid w:val="00202A9F"/>
    <w:rsid w:val="00207330"/>
    <w:rsid w:val="00223BBA"/>
    <w:rsid w:val="00225FAC"/>
    <w:rsid w:val="00244BDC"/>
    <w:rsid w:val="00256658"/>
    <w:rsid w:val="002A3A35"/>
    <w:rsid w:val="002A3F60"/>
    <w:rsid w:val="002B0409"/>
    <w:rsid w:val="002B2EF1"/>
    <w:rsid w:val="002C1F18"/>
    <w:rsid w:val="002F68F8"/>
    <w:rsid w:val="003035BF"/>
    <w:rsid w:val="00303E6D"/>
    <w:rsid w:val="00312547"/>
    <w:rsid w:val="00324074"/>
    <w:rsid w:val="00330597"/>
    <w:rsid w:val="00362767"/>
    <w:rsid w:val="003772F5"/>
    <w:rsid w:val="0038199C"/>
    <w:rsid w:val="00396186"/>
    <w:rsid w:val="003A44F4"/>
    <w:rsid w:val="003A6477"/>
    <w:rsid w:val="003C3ECB"/>
    <w:rsid w:val="003C6811"/>
    <w:rsid w:val="003E6890"/>
    <w:rsid w:val="003E7C25"/>
    <w:rsid w:val="00415B23"/>
    <w:rsid w:val="0043000E"/>
    <w:rsid w:val="0043654B"/>
    <w:rsid w:val="0045398D"/>
    <w:rsid w:val="0046076A"/>
    <w:rsid w:val="0046346E"/>
    <w:rsid w:val="004829F1"/>
    <w:rsid w:val="004A285F"/>
    <w:rsid w:val="004B0BE7"/>
    <w:rsid w:val="004B7160"/>
    <w:rsid w:val="004C1BA2"/>
    <w:rsid w:val="004D3E87"/>
    <w:rsid w:val="004D7540"/>
    <w:rsid w:val="0050133E"/>
    <w:rsid w:val="00506396"/>
    <w:rsid w:val="00506A24"/>
    <w:rsid w:val="005142E1"/>
    <w:rsid w:val="005305FE"/>
    <w:rsid w:val="005974FD"/>
    <w:rsid w:val="005C67A9"/>
    <w:rsid w:val="005D5F45"/>
    <w:rsid w:val="005F1508"/>
    <w:rsid w:val="006025AA"/>
    <w:rsid w:val="00611276"/>
    <w:rsid w:val="00614283"/>
    <w:rsid w:val="00623904"/>
    <w:rsid w:val="00626EC5"/>
    <w:rsid w:val="00656A10"/>
    <w:rsid w:val="0068045A"/>
    <w:rsid w:val="006917F1"/>
    <w:rsid w:val="0069690D"/>
    <w:rsid w:val="006A57DF"/>
    <w:rsid w:val="006B5E6C"/>
    <w:rsid w:val="006E6958"/>
    <w:rsid w:val="00743CC6"/>
    <w:rsid w:val="00760FAC"/>
    <w:rsid w:val="00763CC9"/>
    <w:rsid w:val="007A6081"/>
    <w:rsid w:val="007A7152"/>
    <w:rsid w:val="007C069F"/>
    <w:rsid w:val="007C0FE7"/>
    <w:rsid w:val="007C690D"/>
    <w:rsid w:val="007F4BCD"/>
    <w:rsid w:val="0080325C"/>
    <w:rsid w:val="008165FE"/>
    <w:rsid w:val="00824EAD"/>
    <w:rsid w:val="00835D7E"/>
    <w:rsid w:val="00860941"/>
    <w:rsid w:val="00862246"/>
    <w:rsid w:val="00877554"/>
    <w:rsid w:val="00891780"/>
    <w:rsid w:val="008A13C5"/>
    <w:rsid w:val="008C040C"/>
    <w:rsid w:val="008D7BEC"/>
    <w:rsid w:val="008F226A"/>
    <w:rsid w:val="00906DB8"/>
    <w:rsid w:val="00930431"/>
    <w:rsid w:val="00934846"/>
    <w:rsid w:val="009425E9"/>
    <w:rsid w:val="00992ED7"/>
    <w:rsid w:val="009B0B25"/>
    <w:rsid w:val="009E3F39"/>
    <w:rsid w:val="00A00D0A"/>
    <w:rsid w:val="00A12F3B"/>
    <w:rsid w:val="00A369CA"/>
    <w:rsid w:val="00A60CF6"/>
    <w:rsid w:val="00A626A9"/>
    <w:rsid w:val="00A85543"/>
    <w:rsid w:val="00AA49DD"/>
    <w:rsid w:val="00AE504D"/>
    <w:rsid w:val="00B15C33"/>
    <w:rsid w:val="00B818A9"/>
    <w:rsid w:val="00B842DB"/>
    <w:rsid w:val="00BA000F"/>
    <w:rsid w:val="00BA036B"/>
    <w:rsid w:val="00BA264C"/>
    <w:rsid w:val="00BB322F"/>
    <w:rsid w:val="00BD2E84"/>
    <w:rsid w:val="00BD4A32"/>
    <w:rsid w:val="00BF4745"/>
    <w:rsid w:val="00BF4A8C"/>
    <w:rsid w:val="00C064AC"/>
    <w:rsid w:val="00C1769D"/>
    <w:rsid w:val="00C46776"/>
    <w:rsid w:val="00C613CA"/>
    <w:rsid w:val="00C67AFC"/>
    <w:rsid w:val="00C77457"/>
    <w:rsid w:val="00C77DE0"/>
    <w:rsid w:val="00C91BDB"/>
    <w:rsid w:val="00CC315C"/>
    <w:rsid w:val="00CC7497"/>
    <w:rsid w:val="00D1796D"/>
    <w:rsid w:val="00D25FE2"/>
    <w:rsid w:val="00D26E95"/>
    <w:rsid w:val="00D550D3"/>
    <w:rsid w:val="00D8160A"/>
    <w:rsid w:val="00DB4032"/>
    <w:rsid w:val="00E23807"/>
    <w:rsid w:val="00E6615C"/>
    <w:rsid w:val="00E767A7"/>
    <w:rsid w:val="00E82D39"/>
    <w:rsid w:val="00E8307B"/>
    <w:rsid w:val="00EA3447"/>
    <w:rsid w:val="00EC45C9"/>
    <w:rsid w:val="00EC4FD6"/>
    <w:rsid w:val="00ED27C2"/>
    <w:rsid w:val="00ED397D"/>
    <w:rsid w:val="00EE16B2"/>
    <w:rsid w:val="00F202D9"/>
    <w:rsid w:val="00F378B3"/>
    <w:rsid w:val="00F54E5D"/>
    <w:rsid w:val="00F67583"/>
    <w:rsid w:val="00F80667"/>
    <w:rsid w:val="00F808C3"/>
    <w:rsid w:val="00FB3070"/>
    <w:rsid w:val="00FC038C"/>
    <w:rsid w:val="00FC1A8B"/>
    <w:rsid w:val="00FC51CB"/>
    <w:rsid w:val="00FF630A"/>
    <w:rsid w:val="00FF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9F3BC"/>
  <w15:chartTrackingRefBased/>
  <w15:docId w15:val="{3A7BA5AA-904B-3B46-8265-CCE0DB16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6776"/>
    <w:pPr>
      <w:jc w:val="both"/>
    </w:pPr>
    <w:rPr>
      <w:sz w:val="24"/>
      <w:szCs w:val="24"/>
      <w:lang w:eastAsia="fi-FI"/>
    </w:rPr>
  </w:style>
  <w:style w:type="paragraph" w:styleId="Heading1">
    <w:name w:val="heading 1"/>
    <w:basedOn w:val="Normal"/>
    <w:next w:val="Normal"/>
    <w:link w:val="Heading1Char"/>
    <w:qFormat/>
    <w:rsid w:val="00D25FE2"/>
    <w:pPr>
      <w:keepNext/>
      <w:outlineLvl w:val="0"/>
    </w:pPr>
    <w:rPr>
      <w:b/>
      <w:bCs/>
      <w:kern w:val="32"/>
      <w:szCs w:val="32"/>
    </w:rPr>
  </w:style>
  <w:style w:type="paragraph" w:styleId="Heading2">
    <w:name w:val="heading 2"/>
    <w:basedOn w:val="Heading1"/>
    <w:next w:val="Normal"/>
    <w:link w:val="Heading2Char"/>
    <w:qFormat/>
    <w:pPr>
      <w:outlineLvl w:val="1"/>
    </w:pPr>
    <w:rPr>
      <w:rFonts w:cs="Arial"/>
      <w:iCs/>
      <w:szCs w:val="28"/>
    </w:rPr>
  </w:style>
  <w:style w:type="paragraph" w:styleId="Heading3">
    <w:name w:val="heading 3"/>
    <w:basedOn w:val="Normal"/>
    <w:next w:val="Normal"/>
    <w:qFormat/>
    <w:rsid w:val="004D3E87"/>
    <w:pPr>
      <w:keepNex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pPr>
      <w:ind w:left="220" w:hanging="220"/>
    </w:pPr>
  </w:style>
  <w:style w:type="paragraph" w:styleId="Title">
    <w:name w:val="Title"/>
    <w:basedOn w:val="Normal"/>
    <w:link w:val="TitleChar"/>
    <w:uiPriority w:val="10"/>
    <w:qFormat/>
    <w:rsid w:val="00D25FE2"/>
    <w:pPr>
      <w:jc w:val="left"/>
      <w:outlineLvl w:val="0"/>
    </w:pPr>
    <w:rPr>
      <w:rFonts w:cs="Arial"/>
      <w:b/>
      <w:bCs/>
      <w:kern w:val="28"/>
      <w:sz w:val="28"/>
      <w:szCs w:val="32"/>
    </w:rPr>
  </w:style>
  <w:style w:type="paragraph" w:customStyle="1" w:styleId="Reference">
    <w:name w:val="Reference"/>
    <w:basedOn w:val="Normal"/>
    <w:pPr>
      <w:ind w:left="567" w:hanging="567"/>
    </w:pPr>
    <w:rPr>
      <w:sz w:val="22"/>
    </w:rPr>
  </w:style>
  <w:style w:type="paragraph" w:customStyle="1" w:styleId="Author">
    <w:name w:val="Author"/>
    <w:basedOn w:val="Normal"/>
  </w:style>
  <w:style w:type="character" w:customStyle="1" w:styleId="Heading1Char">
    <w:name w:val="Heading 1 Char"/>
    <w:link w:val="Heading1"/>
    <w:uiPriority w:val="9"/>
    <w:rsid w:val="00D25FE2"/>
    <w:rPr>
      <w:b/>
      <w:bCs/>
      <w:kern w:val="32"/>
      <w:sz w:val="24"/>
      <w:szCs w:val="32"/>
      <w:lang w:val="en-US" w:eastAsia="fi-FI" w:bidi="ar-SA"/>
    </w:rPr>
  </w:style>
  <w:style w:type="character" w:customStyle="1" w:styleId="Heading2Char">
    <w:name w:val="Heading 2 Char"/>
    <w:link w:val="Heading2"/>
    <w:rsid w:val="00BA264C"/>
    <w:rPr>
      <w:rFonts w:cs="Arial"/>
      <w:b/>
      <w:bCs/>
      <w:iCs/>
      <w:kern w:val="32"/>
      <w:sz w:val="24"/>
      <w:szCs w:val="28"/>
      <w:lang w:val="en-US" w:eastAsia="fi-FI" w:bidi="ar-SA"/>
    </w:rPr>
  </w:style>
  <w:style w:type="paragraph" w:styleId="BalloonText">
    <w:name w:val="Balloon Text"/>
    <w:basedOn w:val="Normal"/>
    <w:semiHidden/>
    <w:rsid w:val="006917F1"/>
    <w:rPr>
      <w:rFonts w:ascii="Tahoma" w:hAnsi="Tahoma" w:cs="Tahoma"/>
      <w:sz w:val="16"/>
      <w:szCs w:val="16"/>
    </w:rPr>
  </w:style>
  <w:style w:type="character" w:styleId="CommentReference">
    <w:name w:val="annotation reference"/>
    <w:semiHidden/>
    <w:rsid w:val="001B6572"/>
    <w:rPr>
      <w:sz w:val="16"/>
      <w:szCs w:val="16"/>
    </w:rPr>
  </w:style>
  <w:style w:type="paragraph" w:styleId="CommentText">
    <w:name w:val="annotation text"/>
    <w:basedOn w:val="Normal"/>
    <w:link w:val="CommentTextChar"/>
    <w:uiPriority w:val="99"/>
    <w:semiHidden/>
    <w:rsid w:val="001B6572"/>
    <w:rPr>
      <w:sz w:val="20"/>
      <w:szCs w:val="20"/>
    </w:rPr>
  </w:style>
  <w:style w:type="paragraph" w:styleId="CommentSubject">
    <w:name w:val="annotation subject"/>
    <w:basedOn w:val="CommentText"/>
    <w:next w:val="CommentText"/>
    <w:semiHidden/>
    <w:rsid w:val="001B6572"/>
    <w:rPr>
      <w:b/>
      <w:bCs/>
    </w:rPr>
  </w:style>
  <w:style w:type="character" w:styleId="Hyperlink">
    <w:name w:val="Hyperlink"/>
    <w:rsid w:val="00EE16B2"/>
    <w:rPr>
      <w:color w:val="0000FF"/>
      <w:u w:val="single"/>
    </w:rPr>
  </w:style>
  <w:style w:type="character" w:styleId="UnresolvedMention">
    <w:name w:val="Unresolved Mention"/>
    <w:uiPriority w:val="99"/>
    <w:semiHidden/>
    <w:unhideWhenUsed/>
    <w:rsid w:val="00106424"/>
    <w:rPr>
      <w:color w:val="605E5C"/>
      <w:shd w:val="clear" w:color="auto" w:fill="E1DFDD"/>
    </w:rPr>
  </w:style>
  <w:style w:type="character" w:customStyle="1" w:styleId="TitleChar">
    <w:name w:val="Title Char"/>
    <w:link w:val="Title"/>
    <w:uiPriority w:val="10"/>
    <w:locked/>
    <w:rsid w:val="00202A9F"/>
    <w:rPr>
      <w:rFonts w:cs="Arial"/>
      <w:b/>
      <w:bCs/>
      <w:kern w:val="28"/>
      <w:sz w:val="28"/>
      <w:szCs w:val="32"/>
      <w:lang w:eastAsia="fi-FI"/>
    </w:rPr>
  </w:style>
  <w:style w:type="character" w:customStyle="1" w:styleId="CommentTextChar">
    <w:name w:val="Comment Text Char"/>
    <w:link w:val="CommentText"/>
    <w:uiPriority w:val="99"/>
    <w:semiHidden/>
    <w:locked/>
    <w:rsid w:val="00202A9F"/>
    <w:rPr>
      <w:lang w:eastAsia="fi-FI"/>
    </w:rPr>
  </w:style>
  <w:style w:type="character" w:styleId="PlaceholderText">
    <w:name w:val="Placeholder Text"/>
    <w:basedOn w:val="DefaultParagraphFont"/>
    <w:uiPriority w:val="99"/>
    <w:semiHidden/>
    <w:rsid w:val="008D7B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6953">
      <w:bodyDiv w:val="1"/>
      <w:marLeft w:val="0"/>
      <w:marRight w:val="0"/>
      <w:marTop w:val="0"/>
      <w:marBottom w:val="0"/>
      <w:divBdr>
        <w:top w:val="none" w:sz="0" w:space="0" w:color="auto"/>
        <w:left w:val="none" w:sz="0" w:space="0" w:color="auto"/>
        <w:bottom w:val="none" w:sz="0" w:space="0" w:color="auto"/>
        <w:right w:val="none" w:sz="0" w:space="0" w:color="auto"/>
      </w:divBdr>
    </w:div>
    <w:div w:id="223373386">
      <w:bodyDiv w:val="1"/>
      <w:marLeft w:val="0"/>
      <w:marRight w:val="0"/>
      <w:marTop w:val="0"/>
      <w:marBottom w:val="0"/>
      <w:divBdr>
        <w:top w:val="none" w:sz="0" w:space="0" w:color="auto"/>
        <w:left w:val="none" w:sz="0" w:space="0" w:color="auto"/>
        <w:bottom w:val="none" w:sz="0" w:space="0" w:color="auto"/>
        <w:right w:val="none" w:sz="0" w:space="0" w:color="auto"/>
      </w:divBdr>
    </w:div>
    <w:div w:id="320810826">
      <w:bodyDiv w:val="1"/>
      <w:marLeft w:val="0"/>
      <w:marRight w:val="0"/>
      <w:marTop w:val="0"/>
      <w:marBottom w:val="0"/>
      <w:divBdr>
        <w:top w:val="none" w:sz="0" w:space="0" w:color="auto"/>
        <w:left w:val="none" w:sz="0" w:space="0" w:color="auto"/>
        <w:bottom w:val="none" w:sz="0" w:space="0" w:color="auto"/>
        <w:right w:val="none" w:sz="0" w:space="0" w:color="auto"/>
      </w:divBdr>
    </w:div>
    <w:div w:id="324556714">
      <w:bodyDiv w:val="1"/>
      <w:marLeft w:val="0"/>
      <w:marRight w:val="0"/>
      <w:marTop w:val="0"/>
      <w:marBottom w:val="0"/>
      <w:divBdr>
        <w:top w:val="none" w:sz="0" w:space="0" w:color="auto"/>
        <w:left w:val="none" w:sz="0" w:space="0" w:color="auto"/>
        <w:bottom w:val="none" w:sz="0" w:space="0" w:color="auto"/>
        <w:right w:val="none" w:sz="0" w:space="0" w:color="auto"/>
      </w:divBdr>
    </w:div>
    <w:div w:id="375937846">
      <w:bodyDiv w:val="1"/>
      <w:marLeft w:val="0"/>
      <w:marRight w:val="0"/>
      <w:marTop w:val="0"/>
      <w:marBottom w:val="0"/>
      <w:divBdr>
        <w:top w:val="none" w:sz="0" w:space="0" w:color="auto"/>
        <w:left w:val="none" w:sz="0" w:space="0" w:color="auto"/>
        <w:bottom w:val="none" w:sz="0" w:space="0" w:color="auto"/>
        <w:right w:val="none" w:sz="0" w:space="0" w:color="auto"/>
      </w:divBdr>
    </w:div>
    <w:div w:id="485126770">
      <w:bodyDiv w:val="1"/>
      <w:marLeft w:val="0"/>
      <w:marRight w:val="0"/>
      <w:marTop w:val="0"/>
      <w:marBottom w:val="0"/>
      <w:divBdr>
        <w:top w:val="none" w:sz="0" w:space="0" w:color="auto"/>
        <w:left w:val="none" w:sz="0" w:space="0" w:color="auto"/>
        <w:bottom w:val="none" w:sz="0" w:space="0" w:color="auto"/>
        <w:right w:val="none" w:sz="0" w:space="0" w:color="auto"/>
      </w:divBdr>
    </w:div>
    <w:div w:id="491726938">
      <w:bodyDiv w:val="1"/>
      <w:marLeft w:val="0"/>
      <w:marRight w:val="0"/>
      <w:marTop w:val="0"/>
      <w:marBottom w:val="0"/>
      <w:divBdr>
        <w:top w:val="none" w:sz="0" w:space="0" w:color="auto"/>
        <w:left w:val="none" w:sz="0" w:space="0" w:color="auto"/>
        <w:bottom w:val="none" w:sz="0" w:space="0" w:color="auto"/>
        <w:right w:val="none" w:sz="0" w:space="0" w:color="auto"/>
      </w:divBdr>
    </w:div>
    <w:div w:id="553277389">
      <w:bodyDiv w:val="1"/>
      <w:marLeft w:val="0"/>
      <w:marRight w:val="0"/>
      <w:marTop w:val="0"/>
      <w:marBottom w:val="0"/>
      <w:divBdr>
        <w:top w:val="none" w:sz="0" w:space="0" w:color="auto"/>
        <w:left w:val="none" w:sz="0" w:space="0" w:color="auto"/>
        <w:bottom w:val="none" w:sz="0" w:space="0" w:color="auto"/>
        <w:right w:val="none" w:sz="0" w:space="0" w:color="auto"/>
      </w:divBdr>
    </w:div>
    <w:div w:id="588852901">
      <w:bodyDiv w:val="1"/>
      <w:marLeft w:val="0"/>
      <w:marRight w:val="0"/>
      <w:marTop w:val="0"/>
      <w:marBottom w:val="0"/>
      <w:divBdr>
        <w:top w:val="none" w:sz="0" w:space="0" w:color="auto"/>
        <w:left w:val="none" w:sz="0" w:space="0" w:color="auto"/>
        <w:bottom w:val="none" w:sz="0" w:space="0" w:color="auto"/>
        <w:right w:val="none" w:sz="0" w:space="0" w:color="auto"/>
      </w:divBdr>
    </w:div>
    <w:div w:id="632755941">
      <w:bodyDiv w:val="1"/>
      <w:marLeft w:val="0"/>
      <w:marRight w:val="0"/>
      <w:marTop w:val="0"/>
      <w:marBottom w:val="0"/>
      <w:divBdr>
        <w:top w:val="none" w:sz="0" w:space="0" w:color="auto"/>
        <w:left w:val="none" w:sz="0" w:space="0" w:color="auto"/>
        <w:bottom w:val="none" w:sz="0" w:space="0" w:color="auto"/>
        <w:right w:val="none" w:sz="0" w:space="0" w:color="auto"/>
      </w:divBdr>
    </w:div>
    <w:div w:id="749810926">
      <w:bodyDiv w:val="1"/>
      <w:marLeft w:val="0"/>
      <w:marRight w:val="0"/>
      <w:marTop w:val="0"/>
      <w:marBottom w:val="0"/>
      <w:divBdr>
        <w:top w:val="none" w:sz="0" w:space="0" w:color="auto"/>
        <w:left w:val="none" w:sz="0" w:space="0" w:color="auto"/>
        <w:bottom w:val="none" w:sz="0" w:space="0" w:color="auto"/>
        <w:right w:val="none" w:sz="0" w:space="0" w:color="auto"/>
      </w:divBdr>
    </w:div>
    <w:div w:id="849100071">
      <w:bodyDiv w:val="1"/>
      <w:marLeft w:val="0"/>
      <w:marRight w:val="0"/>
      <w:marTop w:val="0"/>
      <w:marBottom w:val="0"/>
      <w:divBdr>
        <w:top w:val="none" w:sz="0" w:space="0" w:color="auto"/>
        <w:left w:val="none" w:sz="0" w:space="0" w:color="auto"/>
        <w:bottom w:val="none" w:sz="0" w:space="0" w:color="auto"/>
        <w:right w:val="none" w:sz="0" w:space="0" w:color="auto"/>
      </w:divBdr>
    </w:div>
    <w:div w:id="1413621656">
      <w:bodyDiv w:val="1"/>
      <w:marLeft w:val="0"/>
      <w:marRight w:val="0"/>
      <w:marTop w:val="0"/>
      <w:marBottom w:val="0"/>
      <w:divBdr>
        <w:top w:val="none" w:sz="0" w:space="0" w:color="auto"/>
        <w:left w:val="none" w:sz="0" w:space="0" w:color="auto"/>
        <w:bottom w:val="none" w:sz="0" w:space="0" w:color="auto"/>
        <w:right w:val="none" w:sz="0" w:space="0" w:color="auto"/>
      </w:divBdr>
    </w:div>
    <w:div w:id="1444762338">
      <w:bodyDiv w:val="1"/>
      <w:marLeft w:val="0"/>
      <w:marRight w:val="0"/>
      <w:marTop w:val="0"/>
      <w:marBottom w:val="0"/>
      <w:divBdr>
        <w:top w:val="none" w:sz="0" w:space="0" w:color="auto"/>
        <w:left w:val="none" w:sz="0" w:space="0" w:color="auto"/>
        <w:bottom w:val="none" w:sz="0" w:space="0" w:color="auto"/>
        <w:right w:val="none" w:sz="0" w:space="0" w:color="auto"/>
      </w:divBdr>
    </w:div>
    <w:div w:id="1605109051">
      <w:bodyDiv w:val="1"/>
      <w:marLeft w:val="0"/>
      <w:marRight w:val="0"/>
      <w:marTop w:val="0"/>
      <w:marBottom w:val="0"/>
      <w:divBdr>
        <w:top w:val="none" w:sz="0" w:space="0" w:color="auto"/>
        <w:left w:val="none" w:sz="0" w:space="0" w:color="auto"/>
        <w:bottom w:val="none" w:sz="0" w:space="0" w:color="auto"/>
        <w:right w:val="none" w:sz="0" w:space="0" w:color="auto"/>
      </w:divBdr>
    </w:div>
    <w:div w:id="1615868242">
      <w:bodyDiv w:val="1"/>
      <w:marLeft w:val="0"/>
      <w:marRight w:val="0"/>
      <w:marTop w:val="0"/>
      <w:marBottom w:val="0"/>
      <w:divBdr>
        <w:top w:val="none" w:sz="0" w:space="0" w:color="auto"/>
        <w:left w:val="none" w:sz="0" w:space="0" w:color="auto"/>
        <w:bottom w:val="none" w:sz="0" w:space="0" w:color="auto"/>
        <w:right w:val="none" w:sz="0" w:space="0" w:color="auto"/>
      </w:divBdr>
    </w:div>
    <w:div w:id="1644895836">
      <w:bodyDiv w:val="1"/>
      <w:marLeft w:val="0"/>
      <w:marRight w:val="0"/>
      <w:marTop w:val="0"/>
      <w:marBottom w:val="0"/>
      <w:divBdr>
        <w:top w:val="none" w:sz="0" w:space="0" w:color="auto"/>
        <w:left w:val="none" w:sz="0" w:space="0" w:color="auto"/>
        <w:bottom w:val="none" w:sz="0" w:space="0" w:color="auto"/>
        <w:right w:val="none" w:sz="0" w:space="0" w:color="auto"/>
      </w:divBdr>
    </w:div>
    <w:div w:id="1655717543">
      <w:bodyDiv w:val="1"/>
      <w:marLeft w:val="0"/>
      <w:marRight w:val="0"/>
      <w:marTop w:val="0"/>
      <w:marBottom w:val="0"/>
      <w:divBdr>
        <w:top w:val="none" w:sz="0" w:space="0" w:color="auto"/>
        <w:left w:val="none" w:sz="0" w:space="0" w:color="auto"/>
        <w:bottom w:val="none" w:sz="0" w:space="0" w:color="auto"/>
        <w:right w:val="none" w:sz="0" w:space="0" w:color="auto"/>
      </w:divBdr>
    </w:div>
    <w:div w:id="1827017683">
      <w:bodyDiv w:val="1"/>
      <w:marLeft w:val="0"/>
      <w:marRight w:val="0"/>
      <w:marTop w:val="0"/>
      <w:marBottom w:val="0"/>
      <w:divBdr>
        <w:top w:val="none" w:sz="0" w:space="0" w:color="auto"/>
        <w:left w:val="none" w:sz="0" w:space="0" w:color="auto"/>
        <w:bottom w:val="none" w:sz="0" w:space="0" w:color="auto"/>
        <w:right w:val="none" w:sz="0" w:space="0" w:color="auto"/>
      </w:divBdr>
    </w:div>
    <w:div w:id="1834762226">
      <w:bodyDiv w:val="1"/>
      <w:marLeft w:val="0"/>
      <w:marRight w:val="0"/>
      <w:marTop w:val="0"/>
      <w:marBottom w:val="0"/>
      <w:divBdr>
        <w:top w:val="none" w:sz="0" w:space="0" w:color="auto"/>
        <w:left w:val="none" w:sz="0" w:space="0" w:color="auto"/>
        <w:bottom w:val="none" w:sz="0" w:space="0" w:color="auto"/>
        <w:right w:val="none" w:sz="0" w:space="0" w:color="auto"/>
      </w:divBdr>
    </w:div>
    <w:div w:id="1844512732">
      <w:bodyDiv w:val="1"/>
      <w:marLeft w:val="0"/>
      <w:marRight w:val="0"/>
      <w:marTop w:val="0"/>
      <w:marBottom w:val="0"/>
      <w:divBdr>
        <w:top w:val="none" w:sz="0" w:space="0" w:color="auto"/>
        <w:left w:val="none" w:sz="0" w:space="0" w:color="auto"/>
        <w:bottom w:val="none" w:sz="0" w:space="0" w:color="auto"/>
        <w:right w:val="none" w:sz="0" w:space="0" w:color="auto"/>
      </w:divBdr>
    </w:div>
    <w:div w:id="1873490485">
      <w:bodyDiv w:val="1"/>
      <w:marLeft w:val="0"/>
      <w:marRight w:val="0"/>
      <w:marTop w:val="0"/>
      <w:marBottom w:val="0"/>
      <w:divBdr>
        <w:top w:val="none" w:sz="0" w:space="0" w:color="auto"/>
        <w:left w:val="none" w:sz="0" w:space="0" w:color="auto"/>
        <w:bottom w:val="none" w:sz="0" w:space="0" w:color="auto"/>
        <w:right w:val="none" w:sz="0" w:space="0" w:color="auto"/>
      </w:divBdr>
    </w:div>
    <w:div w:id="1898929361">
      <w:bodyDiv w:val="1"/>
      <w:marLeft w:val="0"/>
      <w:marRight w:val="0"/>
      <w:marTop w:val="0"/>
      <w:marBottom w:val="0"/>
      <w:divBdr>
        <w:top w:val="none" w:sz="0" w:space="0" w:color="auto"/>
        <w:left w:val="none" w:sz="0" w:space="0" w:color="auto"/>
        <w:bottom w:val="none" w:sz="0" w:space="0" w:color="auto"/>
        <w:right w:val="none" w:sz="0" w:space="0" w:color="auto"/>
      </w:divBdr>
    </w:div>
    <w:div w:id="1923684368">
      <w:bodyDiv w:val="1"/>
      <w:marLeft w:val="0"/>
      <w:marRight w:val="0"/>
      <w:marTop w:val="0"/>
      <w:marBottom w:val="0"/>
      <w:divBdr>
        <w:top w:val="none" w:sz="0" w:space="0" w:color="auto"/>
        <w:left w:val="none" w:sz="0" w:space="0" w:color="auto"/>
        <w:bottom w:val="none" w:sz="0" w:space="0" w:color="auto"/>
        <w:right w:val="none" w:sz="0" w:space="0" w:color="auto"/>
      </w:divBdr>
    </w:div>
    <w:div w:id="1941984719">
      <w:bodyDiv w:val="1"/>
      <w:marLeft w:val="0"/>
      <w:marRight w:val="0"/>
      <w:marTop w:val="0"/>
      <w:marBottom w:val="0"/>
      <w:divBdr>
        <w:top w:val="none" w:sz="0" w:space="0" w:color="auto"/>
        <w:left w:val="none" w:sz="0" w:space="0" w:color="auto"/>
        <w:bottom w:val="none" w:sz="0" w:space="0" w:color="auto"/>
        <w:right w:val="none" w:sz="0" w:space="0" w:color="auto"/>
      </w:divBdr>
    </w:div>
    <w:div w:id="202913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AF43A768-993E-41DB-976B-FC05DB86BEAE}">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C:\Users\rich\AppData\Local\Chemistry Add-in for Word\Chemistry Gallery\Chem4Word.dotx</Template>
  <TotalTime>1</TotalTime>
  <Pages>2</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HB2009 Instructions for Full paper</vt:lpstr>
    </vt:vector>
  </TitlesOfParts>
  <Company>Missouri S&amp;T</Company>
  <LinksUpToDate>false</LinksUpToDate>
  <CharactersWithSpaces>5100</CharactersWithSpaces>
  <SharedDoc>false</SharedDoc>
  <HLinks>
    <vt:vector size="6" baseType="variant">
      <vt:variant>
        <vt:i4>2818125</vt:i4>
      </vt:variant>
      <vt:variant>
        <vt:i4>-1</vt:i4>
      </vt:variant>
      <vt:variant>
        <vt:i4>1027</vt:i4>
      </vt:variant>
      <vt:variant>
        <vt:i4>1</vt:i4>
      </vt:variant>
      <vt:variant>
        <vt:lpwstr>cid:image001.jpg@01D7B544.83044E20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HB2009 Instructions for Full paper</dc:title>
  <dc:subject/>
  <dc:creator>IA2008 + HB2009</dc:creator>
  <cp:keywords/>
  <cp:lastModifiedBy>Hagen Fritz</cp:lastModifiedBy>
  <cp:revision>3</cp:revision>
  <cp:lastPrinted>2015-12-01T15:13:00Z</cp:lastPrinted>
  <dcterms:created xsi:type="dcterms:W3CDTF">2022-02-05T17:11:00Z</dcterms:created>
  <dcterms:modified xsi:type="dcterms:W3CDTF">2022-02-05T17:12:00Z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