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Pedalshield</w:t>
      </w:r>
    </w:p>
    <w:p>
      <w:pPr>
        <w:spacing w:after="40"/>
      </w:pPr>
      <w:r>
        <w:rPr>
          <w:b/>
          <w:bCs/>
          <w:color w:val="5A6485"/>
          <w:sz w:val="24"/>
          <w:szCs w:val="24"/>
        </w:rPr>
        <w:t xml:space="preserve">Capital Memo — Mining-Funded Rewards</w:t>
      </w:r>
    </w:p>
    <w:p>
      <w:pPr>
        <w:pBdr>
          <w:bottom w:val="single" w:color="B0228C" w:sz="12" w:space="6"/>
        </w:pBdr>
        <w:tabs>
          <w:tab w:val="right" w:pos="9026"/>
        </w:tabs>
        <w:spacing w:after="160"/>
      </w:pPr>
      <w:r>
        <w:rPr>
          <w:color w:val="5A6485"/>
        </w:rPr>
        <w:t xml:space="preserve">Intelligrip Industries</w:t>
      </w:r>
      <w:r>
        <w:rPr>
          <w:i/>
          <w:iCs/>
          <w:color w:val="5A6485"/>
        </w:rPr>
        <w:t xml:space="preserve">	Ride private. Earn shielded.  ·  June 2026</w:t>
      </w:r>
    </w:p>
    <w:p>
      <w:pPr>
        <w:pStyle w:val="Heading2"/>
      </w:pPr>
      <w:r>
        <w:t xml:space="preserve">The thesis</w:t>
      </w:r>
    </w:p>
    <w:p>
      <w:pPr>
        <w:spacing w:after="120"/>
      </w:pPr>
      <w:r>
        <w:t xml:space="preserve">Pedalshield is a privacy-first bike-to-earn app on Zcash, live on TestFlight. It pays riders real </w:t>
      </w:r>
      <w:r>
        <w:rPr>
          <w:b/>
          <w:bCs/>
        </w:rPr>
        <w:t xml:space="preserve">shielded ZEC pegged to carbon value</w:t>
      </w:r>
      <w:r>
        <w:t xml:space="preserve"> — $0.006 per mile, the worth of one pound of CO₂ kept out of the air by biking instead of driving. The reward engine is funded by a Zcash </w:t>
      </w:r>
      <w:r>
        <w:rPr>
          <w:b/>
          <w:bCs/>
        </w:rPr>
        <w:t xml:space="preserve">mining operation, not perpetual cash burn</w:t>
      </w:r>
      <w:r>
        <w:t xml:space="preserve">: hashpower converts electricity into the ZEC that pays riders, so reward cost scales with a hard asset we own rather than with our bank balance.</w:t>
      </w:r>
    </w:p>
    <w:p>
      <w:pPr>
        <w:pStyle w:val="Heading2"/>
      </w:pPr>
      <w:r>
        <w:t xml:space="preserve">Why it is fundable</w:t>
      </w:r>
    </w:p>
    <w:p>
      <w:pPr>
        <w:spacing w:after="120"/>
      </w:pPr>
      <w:r>
        <w:t xml:space="preserve">Unlike pure software, this venture has </w:t>
      </w:r>
      <w:r>
        <w:rPr>
          <w:b/>
          <w:bCs/>
        </w:rPr>
        <w:t xml:space="preserve">two return engines</w:t>
      </w:r>
      <w:r>
        <w:t xml:space="preserve">. The mining rigs are a physical, cash-flowing asset with independent ZEC output and resale value — a </w:t>
      </w:r>
      <w:r>
        <w:rPr>
          <w:b/>
          <w:bCs/>
        </w:rPr>
        <w:t xml:space="preserve">downside floor</w:t>
      </w:r>
      <w:r>
        <w:t xml:space="preserve"> that keeps capital partly recoverable even if the app stalls. The platform equity is the </w:t>
      </w:r>
      <w:r>
        <w:rPr>
          <w:b/>
          <w:bCs/>
        </w:rPr>
        <w:t xml:space="preserve">upside</w:t>
      </w:r>
      <w:r>
        <w:t xml:space="preserve">. Hard-asset backing is rare in venture and is what de-risks the raise.</w:t>
      </w:r>
    </w:p>
    <w:p>
      <w:pPr>
        <w:pStyle w:val="Heading2"/>
      </w:pPr>
      <w:r>
        <w:t xml:space="preserve">Unit economics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Reward base rate: </w:t>
      </w:r>
      <w:r>
        <w:t xml:space="preserve">$0.006/mile, carbon-pegged. A rider averaging ~5 miles/day costs ~$11/year in rewards.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 miner: </w:t>
      </w:r>
      <w:r>
        <w:t xml:space="preserve">~$8,460 all-in (ASIC + 12 months hosting). Conservative yield ~$20/day ≈ $7,300/year of ZEC into the pool.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Coverage: </w:t>
      </w:r>
      <w:r>
        <w:t xml:space="preserve">each miner funds ~500–700 riders at the base carbon rate.</w:t>
      </w:r>
    </w:p>
    <w:p>
      <w:pPr>
        <w:pStyle w:val="Heading2"/>
      </w:pPr>
      <w:r>
        <w:t xml:space="preserve">Capital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500"/>
        <w:gridCol w:w="2100"/>
        <w:gridCol w:w="36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0228C"/>
              </w:rPr>
              <w:t xml:space="preserve">Riders funded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0228C"/>
              </w:rPr>
              <w:t xml:space="preserve">Miners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0228C"/>
              </w:rPr>
              <w:t xml:space="preserve">Capital (Yr 1)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B0228C"/>
              </w:rPr>
              <w:t xml:space="preserve">Stage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~1,000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</w:rPr>
              <w:t xml:space="preserve">~$17k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Pilot neighborhood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~10,000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</w:rPr>
              <w:t xml:space="preserve">~17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</w:rPr>
              <w:t xml:space="preserve">~$145k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City-scale launch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~100,000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</w:rPr>
              <w:t xml:space="preserve">~170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1A2E"/>
              </w:rPr>
              <w:t xml:space="preserve">~$1.4M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Multi-city</w:t>
            </w:r>
          </w:p>
        </w:tc>
      </w:tr>
    </w:tbl>
    <w:p>
      <w:pPr>
        <w:spacing w:after="120" w:before="80"/>
      </w:pPr>
      <w:r>
        <w:rPr>
          <w:i/>
          <w:iCs/>
          <w:color w:val="5A6485"/>
          <w:sz w:val="19"/>
          <w:szCs w:val="19"/>
        </w:rPr>
        <w:t xml:space="preserve">Because payouts are fixed in dollars while mining revenue is in ZEC, size at a 1.5–2× coverage ratio (roughly double the capital). The surplus becomes treasury runway and reward-boost capacity in good markets, and the buffer that keeps payouts whole if ZEC falls.</w:t>
      </w:r>
    </w:p>
    <w:p>
      <w:pPr>
        <w:pStyle w:val="Heading2"/>
      </w:pPr>
      <w:r>
        <w:t xml:space="preserve">How investors recoup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80"/>
        <w:gridCol w:w="27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0228C"/>
              </w:rPr>
              <w:t xml:space="preserve">Track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0228C"/>
              </w:rPr>
              <w:t xml:space="preserve">How investors recoup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0228C"/>
              </w:rPr>
              <w:t xml:space="preserve">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</w:rPr>
              <w:t xml:space="preserve">A — Equity (asset-backed)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</w:rPr>
              <w:t xml:space="preserve">SAFE or priced round, with the mining rigs on the balance sheet as a hard, cash-flowing asset. Recoup at exit (acquisition / secondary).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</w:rPr>
              <w:t xml:space="preserve">Illiquid; uncapped upside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</w:rPr>
              <w:t xml:space="preserve">B — Equipment revenue-share</w:t>
            </w:r>
          </w:p>
        </w:tc>
        <w:tc>
          <w:tcPr>
            <w:tcW w:type="dxa" w:w="4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</w:rPr>
              <w:t xml:space="preserve">Investor funds machines and takes a share of the ZEC they mine until principal + an agreed return is recovered (~14-month payback at conservative yield); hardware is collateral.</w:t>
            </w:r>
          </w:p>
        </w:tc>
        <w:tc>
          <w:tcPr>
            <w:tcW w:type="dxa" w:w="2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</w:rPr>
              <w:t xml:space="preserve">Near-term cash recoup; capped</w:t>
            </w:r>
          </w:p>
        </w:tc>
      </w:tr>
    </w:tbl>
    <w:p>
      <w:pPr>
        <w:spacing w:after="120" w:before="80"/>
      </w:pPr>
      <w:r>
        <w:rPr>
          <w:i/>
          <w:iCs/>
          <w:color w:val="5A6485"/>
          <w:sz w:val="19"/>
          <w:szCs w:val="19"/>
        </w:rPr>
        <w:t xml:space="preserve">Rider rewards are payment for verified physical activity and are kept entirely separate from any investment instrument — legally cleaner and central to the honest-carbon brand. Investors fund the machines and the company, never the reward.</w:t>
      </w:r>
    </w:p>
    <w:p>
      <w:pPr>
        <w:pStyle w:val="Heading2"/>
      </w:pPr>
      <w:r>
        <w:t xml:space="preserve">Key risks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ZEC price volatility: </w:t>
      </w:r>
      <w:r>
        <w:t xml:space="preserve">USD-fixed payouts vs. ZEC-denominated mining revenue. Mitigation: 1.5–2× coverage ratio + treasury runway.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Regulatory: </w:t>
      </w:r>
      <w:r>
        <w:t xml:space="preserve">revenue-share or pooled-investment structures may be securities; securities counsel engaged before any instrument is offered.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Execution: </w:t>
      </w:r>
      <w:r>
        <w:t xml:space="preserve">App Store review of the crypto-rewards mechanic, and rider acquisition.</w:t>
      </w:r>
    </w:p>
    <w:p>
      <w:pPr>
        <w:pStyle w:val="Heading2"/>
      </w:pPr>
      <w:r>
        <w:t xml:space="preserve">The ask</w:t>
      </w:r>
    </w:p>
    <w:p>
      <w:pPr>
        <w:spacing w:after="120"/>
      </w:pPr>
      <w:r>
        <w:t xml:space="preserve">Raising </w:t>
      </w:r>
      <w:r>
        <w:rPr>
          <w:b/>
          <w:bCs/>
        </w:rPr>
        <w:t xml:space="preserve">$[ amount ]</w:t>
      </w:r>
      <w:r>
        <w:t xml:space="preserve"> to deploy </w:t>
      </w:r>
      <w:r>
        <w:rPr>
          <w:b/>
          <w:bCs/>
        </w:rPr>
        <w:t xml:space="preserve">[ N ] miners</w:t>
      </w:r>
      <w:r>
        <w:t xml:space="preserve">, fully funding a ~10,000-rider city launch with rewards covered by hashpower and a hard asset behind every dollar invested.</w:t>
      </w:r>
    </w:p>
    <w:p>
      <w:pPr>
        <w:pBdr>
          <w:top w:val="single" w:color="CCCCCC" w:sz="6" w:space="6"/>
        </w:pBdr>
        <w:spacing w:before="200"/>
      </w:pPr>
      <w:r>
        <w:rPr>
          <w:i/>
          <w:iCs/>
          <w:color w:val="5A6485"/>
          <w:sz w:val="16"/>
          <w:szCs w:val="16"/>
        </w:rPr>
        <w:t xml:space="preserve">Illustrative only; not an offer to sell or a solicitation to buy securities. Projections depend on ZEC price, network difficulty, and machine specifications, and are not guaranteed. Not investment, legal, or tax advice.</w:t>
      </w:r>
    </w:p>
    <w:sectPr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B022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2026-06-30T19:22:47.004Z</dcterms:created>
  <dcterms:modified xsi:type="dcterms:W3CDTF">2026-06-30T19:22:47.004Z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