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</w:pPr>
      <w:r>
        <w:rPr>
          <w:b/>
          <w:bCs/>
          <w:color w:val="1A1A1A"/>
          <w:sz w:val="60"/>
          <w:szCs w:val="60"/>
        </w:rPr>
        <w:t xml:space="preserve">PEDALSHIELD</w:t>
      </w:r>
    </w:p>
    <w:p>
      <w:pPr>
        <w:pBdr>
          <w:bottom w:val="single" w:color="12805C" w:sz="18" w:space="8"/>
        </w:pBdr>
        <w:spacing w:after="40"/>
      </w:pPr>
      <w:r>
        <w:rPr>
          <w:i/>
          <w:iCs/>
          <w:color w:val="12805C"/>
          <w:sz w:val="26"/>
          <w:szCs w:val="26"/>
        </w:rPr>
        <w:t xml:space="preserve">Ride private. Earn shielded.</w:t>
      </w:r>
    </w:p>
    <w:p>
      <w:pPr>
        <w:spacing w:after="0" w:before="340"/>
      </w:pPr>
      <w:r>
        <w:rPr>
          <w:b/>
          <w:bCs/>
          <w:color w:val="7C3AED"/>
          <w:sz w:val="34"/>
          <w:szCs w:val="34"/>
        </w:rPr>
        <w:t xml:space="preserve">30-Day Launch Sprint &amp;</w:t>
      </w:r>
    </w:p>
    <w:p>
      <w:pPr>
        <w:spacing w:after="240"/>
      </w:pPr>
      <w:r>
        <w:rPr>
          <w:b/>
          <w:bCs/>
          <w:color w:val="7C3AED"/>
          <w:sz w:val="34"/>
          <w:szCs w:val="34"/>
        </w:rPr>
        <w:t xml:space="preserve">Zcash-Community Investor Plan</w:t>
      </w:r>
    </w:p>
    <w:p>
      <w:pPr>
        <w:spacing w:after="150" w:line="280"/>
      </w:pPr>
      <w:r>
        <w:rPr>
          <w:color w:val="1A1A1A"/>
          <w:sz w:val="24"/>
          <w:szCs w:val="24"/>
        </w:rPr>
        <w:t xml:space="preserve">For zodlers — the ZEC-aligned backers who win when Zcash grows.</w:t>
      </w:r>
    </w:p>
    <w:p>
      <w:pPr>
        <w:spacing w:after="150" w:line="280"/>
      </w:pPr>
      <w:r>
        <w:rPr>
          <w:b/>
          <w:bCs/>
          <w:color w:val="12805C"/>
        </w:rPr>
        <w:t xml:space="preserve">The thesis: </w:t>
      </w:r>
      <w:r>
        <w:t xml:space="preserve">Pedalshield turns everyday bike rides into recurring shielded ZEC payments. Every rider is new demand for Zcash. Back the demand engine, grow the asset you already hold.</w:t>
      </w:r>
    </w:p>
    <w:p>
      <w:pPr>
        <w:spacing w:before="500"/>
      </w:pPr>
      <w:r>
        <w:rPr>
          <w:color w:val="5A5A5A"/>
          <w:sz w:val="20"/>
          <w:szCs w:val="20"/>
        </w:rPr>
        <w:t xml:space="preserve">Live now: </w:t>
      </w:r>
      <w:hyperlink w:history="1" r:id="rIdsg_yjdrm_jhae-dvc6fsl">
        <w:r>
          <w:rPr>
            <w:rStyle w:val="Hyperlink"/>
            <w:sz w:val="20"/>
            <w:szCs w:val="20"/>
          </w:rPr>
          <w:t xml:space="preserve">pedalshield.app</w:t>
        </w:r>
      </w:hyperlink>
      <w:r>
        <w:rPr>
          <w:color w:val="5A5A5A"/>
          <w:sz w:val="20"/>
          <w:szCs w:val="20"/>
        </w:rPr>
        <w:t xml:space="preserve">  ·  Autonomous shielded payouts proven on mainnet  ·  Open source (MIT)</w:t>
      </w:r>
    </w:p>
    <w:p>
      <w:r>
        <w:rPr>
          <w:color w:val="5A5A5A"/>
          <w:sz w:val="20"/>
          <w:szCs w:val="20"/>
        </w:rPr>
        <w:t xml:space="preserve">IntelliGrip Industries  ·  June 2026  ·  ZecHub Hackathon 2026 (Games)</w:t>
      </w:r>
    </w:p>
    <w:p>
      <w:r>
        <w:br w:type="page"/>
      </w:r>
    </w:p>
    <w:p>
      <w:pPr>
        <w:pStyle w:val="Heading1"/>
      </w:pPr>
      <w:r>
        <w:t xml:space="preserve">1.  The opportunity</w:t>
      </w:r>
    </w:p>
    <w:p>
      <w:pPr>
        <w:spacing w:after="150" w:line="280"/>
      </w:pPr>
      <w:r>
        <w:t xml:space="preserve">Zcash has the strongest privacy technology in crypto and a committed holder base — but its growth question is </w:t>
      </w:r>
      <w:r>
        <w:rPr>
          <w:b/>
          <w:bCs/>
        </w:rPr>
        <w:t xml:space="preserve">demand: who is actually making shielded payments, and why?</w:t>
      </w:r>
      <w:r>
        <w:t xml:space="preserve"> Pedalshield answers that. It is a privacy-first bike-to-earn app: riders track real rides, the phone verifies them on-device (the route never leaves the phone), and an autonomous backend pays real shielded ZEC on mainnet. </w:t>
      </w:r>
      <w:r>
        <w:rPr>
          <w:b/>
          <w:bCs/>
          <w:color w:val="12805C"/>
        </w:rPr>
        <w:t xml:space="preserve">Every paid ride is a shielded transaction that would not otherwise exist.</w:t>
      </w:r>
    </w:p>
    <w:p>
      <w:pPr>
        <w:spacing w:after="150" w:line="280"/>
      </w:pPr>
      <w:r>
        <w:t xml:space="preserve">This is not a whitepaper. The hardest part is already built and proven: a hand-rolled, fully autonomous Orchard spend pipeline running under current (NU6.2) consensus, with real mainnet txids. The consumer front door is live at </w:t>
      </w:r>
      <w:hyperlink w:history="1" r:id="rIdym2b9rakhnkmtxrtme8z4">
        <w:r>
          <w:rPr>
            <w:rStyle w:val="Hyperlink"/>
          </w:rPr>
          <w:t xml:space="preserve">pedalshield.app</w:t>
        </w:r>
      </w:hyperlink>
      <w:r>
        <w:t xml:space="preserve"> with an open waitlist.</w:t>
      </w:r>
    </w:p>
    <w:p>
      <w:pPr>
        <w:pStyle w:val="Heading1"/>
      </w:pPr>
      <w:r>
        <w:t xml:space="preserve">2.  Why back this if you hold ZEC</w:t>
      </w:r>
    </w:p>
    <w:p>
      <w:pPr>
        <w:spacing w:after="150" w:line="280"/>
      </w:pPr>
      <w:r>
        <w:t xml:space="preserve">Zodlers are uniquely positioned to win from Pedalshield because the returns are </w:t>
      </w:r>
      <w:r>
        <w:rPr>
          <w:b/>
          <w:bCs/>
        </w:rPr>
        <w:t xml:space="preserve">both strategic and financial: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It grows the asset you hold. </w:t>
      </w:r>
      <w:r>
        <w:t xml:space="preserve">More riders → more recurring shielded transactions → more demonstrated, real-world utility for ZEC. Utility is what a privacy coin most needs to defend and grow its value.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It is natively Zcash. </w:t>
      </w:r>
      <w:r>
        <w:t xml:space="preserve">No token, no bridge, no other chain. Rewards are direct shielded ZEC. Pedalshield only works because Zcash exists — its success is Zcash's success.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It closes a flywheel only Zcash can close. </w:t>
      </w:r>
      <w:r>
        <w:rPr>
          <w:b/>
          <w:bCs/>
          <w:color w:val="12805C"/>
        </w:rPr>
        <w:t xml:space="preserve">Mining funds riding → riding creates shielded demand → demand supports ZEC → stronger ZEC funds more mining and more riding.</w:t>
      </w:r>
      <w:r>
        <w:t xml:space="preserve"> Miners supply infrastructure, custody, and ZEC; riders supply demand.</w:t>
      </w:r>
    </w:p>
    <w:p>
      <w:pPr>
        <w:spacing w:after="150" w:line="280"/>
      </w:pPr>
      <w:r>
        <w:t xml:space="preserve">In short: a zodler who backs Pedalshield is buying equity in a company </w:t>
      </w:r>
      <w:r>
        <w:rPr>
          <w:b/>
          <w:bCs/>
        </w:rPr>
        <w:t xml:space="preserve">and</w:t>
      </w:r>
      <w:r>
        <w:t xml:space="preserve"> investing in the utility of their own bag.</w:t>
      </w:r>
    </w:p>
    <w:p>
      <w:pPr>
        <w:spacing w:after="150" w:line="280"/>
      </w:pPr>
      <w:r>
        <w:rPr>
          <w:b/>
          <w:bCs/>
          <w:color w:val="12805C"/>
        </w:rPr>
        <w:t xml:space="preserve">The single most valuable thing we do for Zcash: </w:t>
      </w:r>
      <w:r>
        <w:t xml:space="preserve">onboard ordinary, non-crypto people into </w:t>
      </w:r>
      <w:r>
        <w:rPr>
          <w:b/>
          <w:bCs/>
        </w:rPr>
        <w:t xml:space="preserve">holding and using shielded ZEC.</w:t>
      </w:r>
      <w:r>
        <w:t xml:space="preserve"> Every rider gets a shielded address and a recurring reason to receive private payments — growing the shielded </w:t>
      </w:r>
      <w:r>
        <w:rPr>
          <w:i/>
          <w:iCs/>
        </w:rPr>
        <w:t xml:space="preserve">user base</w:t>
      </w:r>
      <w:r>
        <w:t xml:space="preserve">, not just transaction count. That is the adoption metric Zcash most needs and can least manufacture on its own. The open-source infrastructure (spend pipeline, FROST ceremony, hardware-attested ZK) and the miner flywheel exist to make that onboarding credible and fundable.</w:t>
      </w:r>
    </w:p>
    <w:p>
      <w:pPr>
        <w:pStyle w:val="Heading1"/>
      </w:pPr>
      <w:r>
        <w:t xml:space="preserve">3.  The 30-day launch sprint</w:t>
      </w:r>
    </w:p>
    <w:p>
      <w:pPr>
        <w:spacing w:after="150" w:line="280"/>
      </w:pPr>
      <w:r>
        <w:t xml:space="preserve">Goal of the sprint: get the word out, drive free waitlist + beta signups, and open investor conversations with the Zcash community — fast, lean, and Zcash-native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60"/>
        <w:gridCol w:w="2500"/>
      </w:tblGrid>
      <w:tr>
        <w:trPr>
          <w:tblHeader/>
        </w:trPr>
        <w:tc>
          <w:tcPr>
            <w:tcW w:type="dxa" w:w="150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1280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536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1280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Moves</w:t>
            </w:r>
          </w:p>
        </w:tc>
        <w:tc>
          <w:tcPr>
            <w:tcW w:type="dxa" w:w="250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1280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150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 1</w:t>
            </w:r>
          </w:p>
        </w:tc>
        <w:tc>
          <w:tcPr>
            <w:tcW w:type="dxa" w:w="536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Finish &amp; post the demo video (real ride → on-device verify → shielded payout). Wire site analytics. Write the Zcash Community Forum intro thread. Lock the open-source story (README receipts).</w:t>
            </w:r>
          </w:p>
        </w:tc>
        <w:tc>
          <w:tcPr>
            <w:tcW w:type="dxa" w:w="250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Demo video live; analytics on; 250+ waitlist</w:t>
            </w:r>
          </w:p>
        </w:tc>
      </w:tr>
      <w:tr>
        <w:tc>
          <w:tcPr>
            <w:tcW w:type="dxa" w:w="150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 2</w:t>
            </w:r>
          </w:p>
        </w:tc>
        <w:tc>
          <w:tcPr>
            <w:tcW w:type="dxa" w:w="536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Zcash-native launch: post in the Zcash Community Forum, the Zodl / Zashi community, r/zec, Zcash Global Discord (#hackathon), and ZecHub. Publish the X thread. Lock the ZecHub Hackathon submission.</w:t>
            </w:r>
          </w:p>
        </w:tc>
        <w:tc>
          <w:tcPr>
            <w:tcW w:type="dxa" w:w="250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Forum + Discord traction; 750+ waitlist; hackathon submitted</w:t>
            </w:r>
          </w:p>
        </w:tc>
      </w:tr>
      <w:tr>
        <w:tc>
          <w:tcPr>
            <w:tcW w:type="dxa" w:w="150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 3</w:t>
            </w:r>
          </w:p>
        </w:tc>
        <w:tc>
          <w:tcPr>
            <w:tcW w:type="dxa" w:w="536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Broaden beyond Zcash: Product Hunt prep, privacy + cycling subreddits and clubs, a referral hook (invite a rider). First gear-partner and sponsor-pool outreach.</w:t>
            </w:r>
          </w:p>
        </w:tc>
        <w:tc>
          <w:tcPr>
            <w:tcW w:type="dxa" w:w="250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1.5K+ waitlist; 1 sponsor convo; PH scheduled</w:t>
            </w:r>
          </w:p>
        </w:tc>
      </w:tr>
      <w:tr>
        <w:tc>
          <w:tcPr>
            <w:tcW w:type="dxa" w:w="150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Week 4</w:t>
            </w:r>
          </w:p>
        </w:tc>
        <w:tc>
          <w:tcPr>
            <w:tcW w:type="dxa" w:w="536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Convert + fund: open TestFlight/closed beta to the warmest waitlist segment; open the zodler backing round (deck + this plan); submit the Zcash Community Grants application; confirm a sponsor reward pool.</w:t>
            </w:r>
          </w:p>
        </w:tc>
        <w:tc>
          <w:tcPr>
            <w:tcW w:type="dxa" w:w="250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Beta cohort live; ZCG app in; first zodler commitments</w:t>
            </w:r>
          </w:p>
        </w:tc>
      </w:tr>
    </w:tbl>
    <w:p>
      <w:pPr>
        <w:spacing w:after="150" w:line="280"/>
      </w:pPr>
      <w:r>
        <w:rPr>
          <w:b/>
          <w:bCs/>
        </w:rPr>
        <w:t xml:space="preserve">Why Zcash-first: </w:t>
      </w:r>
      <w:r>
        <w:t xml:space="preserve">the warmest audience for a shielded-payout app is the privacy community, and it doubles as your investor pool. Every Strava privacy scandal is air cover; answer each one within 24 hours.</w:t>
      </w:r>
    </w:p>
    <w:p>
      <w:r>
        <w:br w:type="page"/>
      </w:r>
    </w:p>
    <w:p>
      <w:pPr>
        <w:pStyle w:val="Heading1"/>
      </w:pPr>
      <w:r>
        <w:t xml:space="preserve">4.  Free → paid: how it makes money</w:t>
      </w:r>
    </w:p>
    <w:p>
      <w:pPr>
        <w:spacing w:after="150" w:line="280"/>
      </w:pPr>
      <w:r>
        <w:t xml:space="preserve">Free to download, always. The free app is a genuinely good private ride tracker that pays small shielded ZEC — that is the acquisition hook, not the business. Money comes from privacy-compatible lines (no data sales, no ads, no token — ever):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Premium subscription (primary) — $4.99–7.99/mo: </w:t>
      </w:r>
      <w:r>
        <w:t xml:space="preserve">on-device AI ride analytics, training insights, local route suggestions, higher earn caps. Strava charges $11.99/mo and takes your data; we undercut and keep data on the phone.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Gear partnerships / redemption: </w:t>
      </w:r>
      <w:r>
        <w:t xml:space="preserve">riders redeem ZEC or get member discounts with bike brands; Pedalshield takes affiliate margin. Brands get privacy-positive association, zero rider data.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Corporate wellness white-label: </w:t>
      </w:r>
      <w:r>
        <w:t xml:space="preserve">employers pay per seat for verified-km programs; they see opted-in aggregate km, never routes.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Sponsor-funded reward pools: </w:t>
      </w:r>
      <w:r>
        <w:t xml:space="preserve">a brand funds “commuter month”; sponsors top up the treasury, not the founders.</w:t>
      </w:r>
    </w:p>
    <w:p>
      <w:pPr>
        <w:spacing w:after="150" w:line="280"/>
      </w:pPr>
      <w:r>
        <w:rPr>
          <w:b/>
          <w:bCs/>
        </w:rPr>
        <w:t xml:space="preserve">The honest unit economics: </w:t>
      </w:r>
      <w:r>
        <w:t xml:space="preserve">payouts are small (0.0002 ZEC/km, capped 0.005 ZEC/ride). A 100K-rides/month reward pool is covered by roughly </w:t>
      </w:r>
      <w:r>
        <w:rPr>
          <w:b/>
          <w:bCs/>
          <w:color w:val="12805C"/>
        </w:rPr>
        <w:t xml:space="preserve">~2,000 premium subscribers</w:t>
      </w:r>
      <w:r>
        <w:t xml:space="preserve">. Rewards are a customer-acquisition cost; subscriptions and sponsors are the business. (All ZEC figures parameterized; rates are env knobs repriced without redeploys.)</w:t>
      </w:r>
    </w:p>
    <w:p>
      <w:pPr>
        <w:pStyle w:val="Heading1"/>
      </w:pPr>
      <w:r>
        <w:t xml:space="preserve">5.  The path to funding miners, electricity, and a full-time node/oracle</w:t>
      </w:r>
    </w:p>
    <w:p>
      <w:pPr>
        <w:spacing w:after="150" w:line="280"/>
      </w:pPr>
      <w:r>
        <w:t xml:space="preserve">Here is the part that matters to you, told straight: </w:t>
      </w:r>
      <w:r>
        <w:rPr>
          <w:b/>
          <w:bCs/>
        </w:rPr>
        <w:t xml:space="preserve">the app loses money before it makes money.</w:t>
      </w:r>
      <w:r>
        <w:t xml:space="preserve"> Rewards go out before subscriptions and sponsors come in. So infrastructure is funded in three phases, with a bridge up front and surplus taking over later: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00"/>
        <w:gridCol w:w="3860"/>
      </w:tblGrid>
      <w:tr>
        <w:trPr>
          <w:tblHeader/>
        </w:trPr>
        <w:tc>
          <w:tcPr>
            <w:tcW w:type="dxa" w:w="170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1280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1280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What's happening</w:t>
            </w:r>
          </w:p>
        </w:tc>
        <w:tc>
          <w:tcPr>
            <w:tcW w:type="dxa" w:w="386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1280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Who pays for infrastructure</w:t>
            </w:r>
          </w:p>
        </w:tc>
      </w:tr>
      <w:tr>
        <w:tc>
          <w:tcPr>
            <w:tcW w:type="dxa" w:w="170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 · Months 0–6</w:t>
            </w:r>
          </w:p>
        </w:tc>
        <w:tc>
          <w:tcPr>
            <w:tcW w:type="dxa" w:w="380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Launch, beta, retention focus. App is reward-negative. Premium not yet at scale.</w:t>
            </w:r>
          </w:p>
        </w:tc>
        <w:tc>
          <w:tcPr>
            <w:tcW w:type="dxa" w:w="386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Bridge: ZCG grant + sponsor pools + lean bootstrap + zodler pre-seed. Stand up a part-time node/oracle.</w:t>
            </w:r>
          </w:p>
        </w:tc>
      </w:tr>
      <w:tr>
        <w:tc>
          <w:tcPr>
            <w:tcW w:type="dxa" w:w="170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 · Months 6–12</w:t>
            </w:r>
          </w:p>
        </w:tc>
        <w:tc>
          <w:tcPr>
            <w:tcW w:type="dxa" w:w="380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Premium tier ships; sponsors recurring; retention proven (D30 ≥ 20%).</w:t>
            </w:r>
          </w:p>
        </w:tc>
        <w:tc>
          <w:tcPr>
            <w:tcW w:type="dxa" w:w="386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Revenue approaches and covers reward burn → operating break-even. Node/oracle goes full-time.</w:t>
            </w:r>
          </w:p>
        </w:tc>
      </w:tr>
      <w:tr>
        <w:tc>
          <w:tcPr>
            <w:tcW w:type="dxa" w:w="170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 · Month 12+</w:t>
            </w:r>
          </w:p>
        </w:tc>
        <w:tc>
          <w:tcPr>
            <w:tcW w:type="dxa" w:w="380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Subscriber + sponsor surplus; miner-recruitment flywheel active.</w:t>
            </w:r>
          </w:p>
        </w:tc>
        <w:tc>
          <w:tcPr>
            <w:tcW w:type="dxa" w:w="386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App surplus + miner partners fund ZEC miners, facility fees, and electricity. “Mining funds riding” closes.</w:t>
            </w:r>
          </w:p>
        </w:tc>
      </w:tr>
    </w:tbl>
    <w:p>
      <w:pPr>
        <w:spacing w:after="150" w:line="280"/>
      </w:pPr>
      <w:r>
        <w:t xml:space="preserve">Miners are not just a cost line — they are a </w:t>
      </w:r>
      <w:r>
        <w:rPr>
          <w:b/>
          <w:bCs/>
        </w:rPr>
        <w:t xml:space="preserve">growth partner class.</w:t>
      </w:r>
      <w:r>
        <w:t xml:space="preserve"> Zcash miners already hold ZEC, run 24/7 infrastructure, and want protocol-aligned utility as block rewards taper. Pedalshield gives them roles (run settlement nodes, co-steward the treasury, fund reward pools) — turning the chain's security base into Pedalshield's supply side.</w:t>
      </w:r>
    </w:p>
    <w:p>
      <w:pPr>
        <w:spacing w:after="150" w:line="280"/>
      </w:pPr>
      <w:r>
        <w:rPr>
          <w:b/>
          <w:bCs/>
        </w:rPr>
        <w:t xml:space="preserve">Honest note: </w:t>
      </w:r>
      <w:r>
        <w:t xml:space="preserve">specific miner hardware, facility, and electricity figures depend on live hardware and energy quotes and are not promised here. The plan funds infrastructure in the sequence above — bridge first, surplus second — not from app revenue on day one.</w:t>
      </w:r>
    </w:p>
    <w:p>
      <w:r>
        <w:br w:type="page"/>
      </w:r>
    </w:p>
    <w:p>
      <w:pPr>
        <w:pStyle w:val="Heading1"/>
      </w:pPr>
      <w:r>
        <w:t xml:space="preserve">6.  The funding stack (your “mix of all three”)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rPr>
          <w:tblHeader/>
        </w:trPr>
        <w:tc>
          <w:tcPr>
            <w:tcW w:type="dxa" w:w="250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1280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36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1280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funds / why it fits</w:t>
            </w:r>
          </w:p>
        </w:tc>
        <w:tc>
          <w:tcPr>
            <w:tcW w:type="dxa" w:w="250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1280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 / timing</w:t>
            </w:r>
          </w:p>
        </w:tc>
      </w:tr>
      <w:tr>
        <w:tc>
          <w:tcPr>
            <w:tcW w:type="dxa" w:w="250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Zcash Community Grants (ZCG)</w:t>
            </w:r>
          </w:p>
        </w:tc>
        <w:tc>
          <w:tcPr>
            <w:tcW w:type="dxa" w:w="436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Public-good, open-source ecosystem work — exactly our hand-rolled spend pipeline, the public FROST treasury ceremony, and ZK proof-of-distance R&amp;D. Funded by 8% of mining rewards through the 2028 halving; rolling applications.</w:t>
            </w:r>
          </w:p>
        </w:tc>
        <w:tc>
          <w:tcPr>
            <w:tcW w:type="dxa" w:w="250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Apply Week 4. Non-dilutive.</w:t>
            </w:r>
          </w:p>
        </w:tc>
      </w:tr>
      <w:tr>
        <w:tc>
          <w:tcPr>
            <w:tcW w:type="dxa" w:w="250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Zodler / community backing</w:t>
            </w:r>
          </w:p>
        </w:tc>
        <w:tc>
          <w:tcPr>
            <w:tcW w:type="dxa" w:w="436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 defined angel/pre-seed from ZEC-aligned backers. Equity/SAFE — no token, no yield promises. Funds team, treasury seeding, growth, and infra bridge.</w:t>
            </w:r>
          </w:p>
        </w:tc>
        <w:tc>
          <w:tcPr>
            <w:tcW w:type="dxa" w:w="250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Open Week 4. Dilutive (SAFE).</w:t>
            </w:r>
          </w:p>
        </w:tc>
      </w:tr>
      <w:tr>
        <w:tc>
          <w:tcPr>
            <w:tcW w:type="dxa" w:w="250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Sponsor reward pools</w:t>
            </w:r>
          </w:p>
        </w:tc>
        <w:tc>
          <w:tcPr>
            <w:tcW w:type="dxa" w:w="436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Brands fund themed reward pools (“commuter month”). Offsets reward burn directly; privacy-positive brand association.</w:t>
            </w:r>
          </w:p>
        </w:tc>
        <w:tc>
          <w:tcPr>
            <w:tcW w:type="dxa" w:w="250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Outreach Weeks 3–4. Non-dilutive.</w:t>
            </w:r>
          </w:p>
        </w:tc>
      </w:tr>
      <w:tr>
        <w:tc>
          <w:tcPr>
            <w:tcW w:type="dxa" w:w="250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Seed round (optional)</w:t>
            </w:r>
          </w:p>
        </w:tc>
        <w:tc>
          <w:tcPr>
            <w:tcW w:type="dxa" w:w="436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The ~$1.5–2.5M institutional round from the scale plan — kept optional, raised against retention + revenue, never token mechanics.</w:t>
            </w:r>
          </w:p>
        </w:tc>
        <w:tc>
          <w:tcPr>
            <w:tcW w:type="dxa" w:w="250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Later, if metrics warrant.</w:t>
            </w:r>
          </w:p>
        </w:tc>
      </w:tr>
    </w:tbl>
    <w:p>
      <w:pPr>
        <w:spacing w:after="150" w:line="280"/>
      </w:pPr>
      <w:r>
        <w:rPr>
          <w:b/>
          <w:bCs/>
        </w:rPr>
        <w:t xml:space="preserve">Plus: </w:t>
      </w:r>
      <w:r>
        <w:t xml:space="preserve">the ZecHub Hackathon 2026 (Games track) — credibility and prize potential, submission this sprint.</w:t>
      </w:r>
    </w:p>
    <w:p>
      <w:pPr>
        <w:pStyle w:val="Heading1"/>
      </w:pPr>
      <w:r>
        <w:t xml:space="preserve">7.  The specific ask (for zodlers)</w:t>
      </w:r>
    </w:p>
    <w:p>
      <w:pPr>
        <w:spacing w:after="150" w:line="280"/>
      </w:pPr>
      <w:r>
        <w:t xml:space="preserve">We are opening a </w:t>
      </w:r>
      <w:r>
        <w:rPr>
          <w:b/>
          <w:bCs/>
        </w:rPr>
        <w:t xml:space="preserve">community pre-seed of $250K</w:t>
      </w:r>
      <w:r>
        <w:t xml:space="preserve"> (range $150K–$400K) via SAFE, aimed at ZEC-aligned backers. Illustrative use of funds: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1280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 of funds</w:t>
            </w:r>
          </w:p>
        </w:tc>
        <w:tc>
          <w:tcPr>
            <w:tcW w:type="dxa" w:w="234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1280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Share</w:t>
            </w:r>
          </w:p>
        </w:tc>
        <w:tc>
          <w:tcPr>
            <w:tcW w:type="dxa" w:w="234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1280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≈ at $250K</w:t>
            </w:r>
          </w:p>
        </w:tc>
      </w:tr>
      <w:tr>
        <w:tc>
          <w:tcPr>
            <w:tcW w:type="dxa" w:w="468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Team (lean: mobile, protocol/Rust, growth) for ~9–12 mo</w:t>
            </w:r>
          </w:p>
        </w:tc>
        <w:tc>
          <w:tcPr>
            <w:tcW w:type="dxa" w:w="234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40%</w:t>
            </w:r>
          </w:p>
        </w:tc>
        <w:tc>
          <w:tcPr>
            <w:tcW w:type="dxa" w:w="234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$100K</w:t>
            </w:r>
          </w:p>
        </w:tc>
      </w:tr>
      <w:tr>
        <w:tc>
          <w:tcPr>
            <w:tcW w:type="dxa" w:w="468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Treasury seeding (rider rewards, parameterized)</w:t>
            </w:r>
          </w:p>
        </w:tc>
        <w:tc>
          <w:tcPr>
            <w:tcW w:type="dxa" w:w="234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20%</w:t>
            </w:r>
          </w:p>
        </w:tc>
        <w:tc>
          <w:tcPr>
            <w:tcW w:type="dxa" w:w="234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$50K</w:t>
            </w:r>
          </w:p>
        </w:tc>
      </w:tr>
      <w:tr>
        <w:tc>
          <w:tcPr>
            <w:tcW w:type="dxa" w:w="468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Infrastructure: full-time node/oracle, settlement workers, first mining/co-location step</w:t>
            </w:r>
          </w:p>
        </w:tc>
        <w:tc>
          <w:tcPr>
            <w:tcW w:type="dxa" w:w="234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25%</w:t>
            </w:r>
          </w:p>
        </w:tc>
        <w:tc>
          <w:tcPr>
            <w:tcW w:type="dxa" w:w="234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$62.5K</w:t>
            </w:r>
          </w:p>
        </w:tc>
      </w:tr>
      <w:tr>
        <w:tc>
          <w:tcPr>
            <w:tcW w:type="dxa" w:w="468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Growth: launch, beta, referral incentives, gear/sponsor BD</w:t>
            </w:r>
          </w:p>
        </w:tc>
        <w:tc>
          <w:tcPr>
            <w:tcW w:type="dxa" w:w="234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15%</w:t>
            </w:r>
          </w:p>
        </w:tc>
        <w:tc>
          <w:tcPr>
            <w:tcW w:type="dxa" w:w="234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$37.5K</w:t>
            </w:r>
          </w:p>
        </w:tc>
      </w:tr>
    </w:tbl>
    <w:p>
      <w:pPr>
        <w:spacing w:after="150" w:line="280"/>
      </w:pPr>
      <w:r>
        <w:rPr>
          <w:b/>
          <w:bCs/>
        </w:rPr>
        <w:t xml:space="preserve">What backers get: </w:t>
      </w:r>
      <w:r>
        <w:t xml:space="preserve">equity exposure (SAFE) to a flagship Zcash consumer app, plus the strategic upside of growing ZEC utility. </w:t>
      </w:r>
      <w:r>
        <w:rPr>
          <w:b/>
          <w:bCs/>
        </w:rPr>
        <w:t xml:space="preserve">What we will not offer: </w:t>
      </w:r>
      <w:r>
        <w:t xml:space="preserve">a token, a yield, or any promise of dollar returns. Privacy is the product, not yield.</w:t>
      </w:r>
    </w:p>
    <w:p>
      <w:pPr>
        <w:spacing w:after="150" w:line="280"/>
      </w:pPr>
      <w:r>
        <w:rPr>
          <w:b/>
          <w:bCs/>
        </w:rPr>
        <w:t xml:space="preserve">Milestones you can hold us to: </w:t>
      </w:r>
      <w:r>
        <w:t xml:space="preserve">ZCG application submitted (30 days); beta live with D30 retention ≥ 20% (90 days); premium tier + first sponsor pool and a full-time node/oracle (12 months).</w:t>
      </w:r>
    </w:p>
    <w:p>
      <w:pPr>
        <w:spacing w:after="150" w:line="280"/>
      </w:pPr>
      <w:r>
        <w:rPr>
          <w:b/>
          <w:bCs/>
          <w:i/>
          <w:iCs/>
        </w:rPr>
        <w:t xml:space="preserve">Disclaimer: </w:t>
      </w:r>
      <w:r>
        <w:rPr>
          <w:i/>
          <w:iCs/>
          <w:color w:val="5A5A5A"/>
          <w:sz w:val="18"/>
          <w:szCs w:val="18"/>
        </w:rPr>
        <w:t xml:space="preserve">This document is information, not investment advice or an offer to sell securities. Figures are illustrative and forward-looking. Any raise will be conducted with qualified legal counsel and applicable securities/KYC compliance.</w:t>
      </w:r>
    </w:p>
    <w:p>
      <w:r>
        <w:br w:type="page"/>
      </w:r>
    </w:p>
    <w:p>
      <w:pPr>
        <w:pStyle w:val="Heading1"/>
      </w:pPr>
      <w:r>
        <w:t xml:space="preserve">8.  Milestones &amp;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1280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Horizon</w:t>
            </w:r>
          </w:p>
        </w:tc>
        <w:tc>
          <w:tcPr>
            <w:tcW w:type="dxa" w:w="716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1280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Targets</w:t>
            </w:r>
          </w:p>
        </w:tc>
      </w:tr>
      <w:tr>
        <w:tc>
          <w:tcPr>
            <w:tcW w:type="dxa" w:w="220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 days</w:t>
            </w:r>
          </w:p>
        </w:tc>
        <w:tc>
          <w:tcPr>
            <w:tcW w:type="dxa" w:w="716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Demo video live; 1.5K+ waitlist; hackathon submitted; ZCG application in; beta cohort opened; first zodler commitments.</w:t>
            </w:r>
          </w:p>
        </w:tc>
      </w:tr>
      <w:tr>
        <w:tc>
          <w:tcPr>
            <w:tcW w:type="dxa" w:w="220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90 days</w:t>
            </w:r>
          </w:p>
        </w:tc>
        <w:tc>
          <w:tcPr>
            <w:tcW w:type="dxa" w:w="716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Closed beta in one metro; D30 retention ≥ 20%; fraud-rejection telemetry healthy; first sponsor pool live; part-time node/oracle running.</w:t>
            </w:r>
          </w:p>
        </w:tc>
      </w:tr>
      <w:tr>
        <w:tc>
          <w:tcPr>
            <w:tcW w:type="dxa" w:w="220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12 months</w:t>
            </w:r>
          </w:p>
        </w:tc>
        <w:tc>
          <w:tcPr>
            <w:tcW w:type="dxa" w:w="716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Premium tier shipped; revenue trending to cover reward burn; full-time node/oracle; first miner partner(s); ZK proof-of-distance R&amp;D underway.</w:t>
            </w:r>
          </w:p>
        </w:tc>
      </w:tr>
    </w:tbl>
    <w:p>
      <w:pPr>
        <w:spacing w:after="150" w:line="280"/>
      </w:pPr>
      <w:r>
        <w:rPr>
          <w:b/>
          <w:bCs/>
        </w:rPr>
        <w:t xml:space="preserve">Core KPIs: </w:t>
      </w:r>
      <w:r>
        <w:t xml:space="preserve">waitlist → beta conversion, D30/D90 retention, rides/rider/mo, premium conversion, reward-burn-vs-revenue ratio, fraud rejection rate, and node/oracle uptime.</w:t>
      </w:r>
    </w:p>
    <w:p>
      <w:pPr>
        <w:pStyle w:val="Heading1"/>
      </w:pPr>
      <w:r>
        <w:t xml:space="preserve">9.  Risks &amp; mitigations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ZEC volatility </w:t>
      </w:r>
      <w:r>
        <w:t xml:space="preserve">(reward liability is ZEC-denominated): tight caps, dynamic per-km repricing, fiat sponsor pools.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Zcash platform churn </w:t>
      </w:r>
      <w:r>
        <w:t xml:space="preserve">(Orchard→Ironwood proved spend paths can be deprecated): SDK-free hand-rolled pipeline; budget one consensus rewrite/year.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Fraud / Sybil: </w:t>
      </w:r>
      <w:r>
        <w:t xml:space="preserve">layered on-device anti-cheat today (honest about limits); hardware attestation via the edge node next (integrity — proves real, untampered hardware); ZK later for trustless verifiability, not as the anti-cheat itself.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Regulatory: </w:t>
      </w:r>
      <w:r>
        <w:t xml:space="preserve">paying ZEC for activity is cleaner than a token; monitor money-transmission angles per jurisdiction; privacy-first design is a GDPR asset; counsel engaged for the raise.</w:t>
      </w:r>
    </w:p>
    <w:p>
      <w:pPr>
        <w:pStyle w:val="Heading1"/>
      </w:pPr>
      <w:r>
        <w:t xml:space="preserve">10.  The close</w:t>
      </w:r>
    </w:p>
    <w:p>
      <w:pPr>
        <w:spacing w:after="150" w:line="280"/>
      </w:pPr>
      <w:r>
        <w:t xml:space="preserve">Pedalshield is already on mainnet and already on the web at pedalshield.app. The 30-day sprint turns that into momentum; the funding stack turns momentum into the infrastructure — miners, node, oracle — that makes the whole thing self-sustaining. For a zodler, this is the rare chance to back a company </w:t>
      </w:r>
      <w:r>
        <w:rPr>
          <w:b/>
          <w:bCs/>
        </w:rPr>
        <w:t xml:space="preserve">and</w:t>
      </w:r>
      <w:r>
        <w:t xml:space="preserve"> the utility of your own ZEC at the same time.</w:t>
      </w:r>
    </w:p>
    <w:p>
      <w:pPr>
        <w:spacing w:before="200"/>
      </w:pPr>
      <w:r>
        <w:rPr>
          <w:b/>
          <w:bCs/>
          <w:color w:val="12805C"/>
          <w:sz w:val="24"/>
          <w:szCs w:val="24"/>
        </w:rPr>
        <w:t xml:space="preserve">Back the demand engine for Zcash.  </w:t>
      </w:r>
      <w:hyperlink w:history="1" r:id="rIdbkwdawhrbvry8bh4cej5t">
        <w:r>
          <w:rPr>
            <w:rStyle w:val="Hyperlink"/>
            <w:sz w:val="24"/>
            <w:szCs w:val="24"/>
          </w:rPr>
          <w:t xml:space="preserve">pedalshield.app</w:t>
        </w:r>
      </w:hyperlink>
    </w:p>
    <w:p>
      <w:pPr>
        <w:pBdr>
          <w:top w:val="single" w:color="12805C" w:sz="12" w:space="8"/>
        </w:pBdr>
        <w:spacing w:before="120"/>
      </w:pPr>
      <w:r>
        <w:rPr>
          <w:color w:val="5A5A5A"/>
          <w:sz w:val="18"/>
          <w:szCs w:val="18"/>
        </w:rPr>
        <w:t xml:space="preserve">IntelliGrip Industries  ·  intelligripindustries@gmail.com  ·  github.com/intelligrip/Pedalshield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A5A5A"/>
        <w:sz w:val="16"/>
        <w:szCs w:val="16"/>
      </w:rPr>
      <w:t xml:space="preserve">Confidential · For prospective backers</w:t>
    </w:r>
    <w:r>
      <w:rPr>
        <w:sz w:val="16"/>
        <w:szCs w:val="16"/>
      </w:rPr>
      <w:t xml:space="preserve">	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DCDC" w:sz="4" w:space="4"/>
      </w:pBdr>
      <w:tabs>
        <w:tab w:val="right" w:pos="9360"/>
      </w:tabs>
    </w:pPr>
    <w:r>
      <w:rPr>
        <w:b/>
        <w:bCs/>
        <w:color w:val="12805C"/>
        <w:sz w:val="16"/>
        <w:szCs w:val="16"/>
      </w:rPr>
      <w:t xml:space="preserve">PEDALSHIELD</w:t>
    </w:r>
    <w:r>
      <w:rPr>
        <w:color w:val="5A5A5A"/>
        <w:sz w:val="16"/>
        <w:szCs w:val="16"/>
      </w:rPr>
      <w:t xml:space="preserve">	Launch Sprint &amp; Investor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12805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DE7DC" w:sz="6" w:space="6"/>
      </w:pBdr>
      <w:spacing w:after="150" w:before="300"/>
      <w:outlineLvl w:val="0"/>
    </w:pPr>
    <w:rPr>
      <w:rFonts w:ascii="Calibri" w:cs="Calibri" w:eastAsia="Calibri" w:hAnsi="Calibri"/>
      <w:b/>
      <w:bCs/>
      <w:color w:val="12805C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g_yjdrm_jhae-dvc6fsl" Type="http://schemas.openxmlformats.org/officeDocument/2006/relationships/hyperlink" Target="https://pedalshield.app" TargetMode="External"/><Relationship Id="rIdym2b9rakhnkmtxrtme8z4" Type="http://schemas.openxmlformats.org/officeDocument/2006/relationships/hyperlink" Target="https://pedalshield.app" TargetMode="External"/><Relationship Id="rIdbkwdawhrbvry8bh4cej5t" Type="http://schemas.openxmlformats.org/officeDocument/2006/relationships/hyperlink" Target="https://pedalshield.app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Pedalshield — Launch Sprint &amp; Zcash-Community Investor Plan</dc:title>
  <dc:creator>Pedalshield</dc:creator>
  <cp:lastModifiedBy>Un-named</cp:lastModifiedBy>
  <cp:revision>1</cp:revision>
  <dcterms:created xsi:type="dcterms:W3CDTF">2026-06-14T03:09:46.194Z</dcterms:created>
  <dcterms:modified xsi:type="dcterms:W3CDTF">2026-06-14T03:09:46.194Z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