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Minutes: Expense anomaly finder check-in</w:t>
      </w:r>
    </w:p>
    <w:p>
      <w:r>
        <w:t xml:space="preserve">Ingrid Solberg, Noor El-Sayed and Hana Kobayashi met on 27 October 2026 to review progress on the Expense anomaly finder. The group confirmed the idea is still aimed at reviewers who currently sample claims by hand.</w:t>
      </w:r>
    </w:p>
    <w:p>
      <w:r>
        <w:t xml:space="preserve">The team agreed to start with a small synthetic set of 200 claims and to flag claims that are far above the usual amount for their category. Access to real claim data was not discussed and is not needed yet.</w:t>
      </w:r>
    </w:p>
    <w:p>
      <w:r>
        <w:t xml:space="preserve">Noor El-Sayed asked for a plain-language list of the flags so reviewers can see why a claim was picked. The team will return with a first version for the next session.</w:t>
      </w:r>
    </w:p>
    <w:tbl>
      <w:tr>
        <w:tc>
          <w:tcPr/>
          <w:p>
            <w:r>
              <w:t xml:space="preserve">Owner</w:t>
            </w:r>
          </w:p>
        </w:tc>
        <w:tc>
          <w:tcPr/>
          <w:p>
            <w:r>
              <w:t xml:space="preserve">Action</w:t>
            </w:r>
          </w:p>
        </w:tc>
        <w:tc>
          <w:tcPr/>
          <w:p>
            <w:r>
              <w:t xml:space="preserve">Due</w:t>
            </w:r>
          </w:p>
        </w:tc>
      </w:tr>
      <w:tr>
        <w:tc>
          <w:tcPr/>
          <w:p>
            <w:r>
              <w:t xml:space="preserve">Ingrid Solberg</w:t>
            </w:r>
          </w:p>
        </w:tc>
        <w:tc>
          <w:tcPr/>
          <w:p>
            <w:r>
              <w:t xml:space="preserve">Build a synthetic set of 200 claims</w:t>
            </w:r>
          </w:p>
        </w:tc>
        <w:tc>
          <w:tcPr/>
          <w:p>
            <w:r>
              <w:t xml:space="preserve">3 November 2026</w:t>
            </w:r>
          </w:p>
        </w:tc>
      </w:tr>
      <w:tr>
        <w:tc>
          <w:tcPr/>
          <w:p>
            <w:r>
              <w:t xml:space="preserve">Hana Kobayashi</w:t>
            </w:r>
          </w:p>
        </w:tc>
        <w:tc>
          <w:tcPr/>
          <w:p>
            <w:r>
              <w:t xml:space="preserve">Draft the list of flag reasons</w:t>
            </w:r>
          </w:p>
        </w:tc>
        <w:tc>
          <w:tcPr/>
          <w:p>
            <w:r>
              <w:t xml:space="preserve">5 November 2026</w:t>
            </w:r>
          </w:p>
        </w:tc>
      </w:tr>
      <w:tr>
        <w:tc>
          <w:tcPr/>
          <w:p>
            <w:r>
              <w:t xml:space="preserve">Noor El-Sayed</w:t>
            </w:r>
          </w:p>
        </w:tc>
        <w:tc>
          <w:tcPr/>
          <w:p>
            <w:r>
              <w:t xml:space="preserve">Confirm which reviewers will try the first version</w:t>
            </w:r>
          </w:p>
        </w:tc>
        <w:tc>
          <w:tcPr/>
          <w:p>
            <w:r>
              <w:t xml:space="preserve">10 November 2026</w:t>
            </w:r>
          </w:p>
        </w:tc>
      </w:tr>
    </w:tbl>
  </w:body>
</w:document>
</file>