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 Educational Platform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  <w:t xml:space="preserve">Grant Application Proposal – Sponsorships for Open Source AI Educational Platform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￼￼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572000" cy="2571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This proposal seeks corporate sponsorship to support the scaling and adoption of the Open Source AI Educational Platform — a proven, easy-to-use, AI-powered tool for transforming traditional education. With sponsorship, your company can directly impact thousands of students and educators, demonstrate social responsibility, and gain brand visibility in the education sector.</w:t>
        <w:br w:type="textWrapping"/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Key Opportunities for Sponsors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• Positive publicity: Your company logo can be placed within the platform/app (with user visibility at login or footer).</w:t>
        <w:br w:type="textWrapping"/>
        <w:t xml:space="preserve">• Access to educational communities: Sponsoring companies may reach students, teachers, and academic institutions directly.</w:t>
        <w:br w:type="textWrapping"/>
        <w:t xml:space="preserve">• Co-branding in workshops, press releases, and events associated with the platform.</w:t>
        <w:br w:type="textWrapping"/>
        <w:t xml:space="preserve">• Option for featured content, such as “Sponsored by” or “Brought to you by [Your Brand]” on select materials.</w:t>
        <w:br w:type="textWrapping"/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About the Platform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The Open Source AI Educational Platform enables non-technical teachers to quickly turn their course materials into interactive, AI-enhanced, online learning experiences.</w:t>
        <w:br w:type="textWrapping"/>
        <w:t xml:space="preserve">It contains a Learning Module, a Mock Evaluation Module and a  Final Evaluation Module.</w:t>
        <w:br w:type="textWrapping"/>
      </w:r>
      <w:r w:rsidDel="00000000" w:rsidR="00000000" w:rsidRPr="00000000">
        <w:rPr/>
        <w:drawing>
          <wp:inline distB="0" distT="0" distL="114300" distR="114300">
            <wp:extent cx="4572000" cy="25717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Key benefits:</w:t>
        <w:br w:type="textWrapping"/>
        <w:t xml:space="preserve">• One-click deployment, simple upload of existing courses (PDF, PPT, DOC).</w:t>
        <w:br w:type="textWrapping"/>
        <w:t xml:space="preserve">• 24/7 AI-powered Q&amp;A, practice exams, and auto-grading.</w:t>
        <w:br w:type="textWrapping"/>
        <w:t xml:space="preserve">• Free and open source; available for deployment or accessible through a sponsored cloud instance.</w:t>
        <w:br w:type="textWrapping"/>
        <w:br w:type="textWrapping"/>
        <w:t xml:space="preserve">Pilot programs show high student engagement, improved learning outcomes, and positive feedback from both teachers and students.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Learn more: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Platform Paper: https://lnkd.in/d2EKCAay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GitHub Source: https://lnkd.in/dKUx5xrz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Online Demo: https://lnkd.in/dxjj6TXb (request access: adrian.balan@airl.com)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Sponsorship Benefits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• Visibility: Company logo and link displayed on the platform for all users.</w:t>
        <w:br w:type="textWrapping"/>
        <w:t xml:space="preserve">• Engagement: Opportunity to offer guest speakers, mentorship, or content modules.</w:t>
        <w:br w:type="textWrapping"/>
        <w:t xml:space="preserve">• Data-driven impact reporting for your CSR or ESG initiatives.</w:t>
        <w:br w:type="textWrapping"/>
        <w:t xml:space="preserve">• Early access to emerging talent and educational trends.</w:t>
        <w:br w:type="textWrapping"/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Potential Sponsorship Packages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Bronze, Silver, Gold – with increasing levels of visibility and partnership engagement.</w:t>
        <w:br w:type="textWrapping"/>
        <w:t xml:space="preserve">- Bronze: Logo in app footer, mention in press releases</w:t>
        <w:br w:type="textWrapping"/>
        <w:t xml:space="preserve">- Silver: Above, plus participation in events, branding in webinars</w:t>
        <w:br w:type="textWrapping"/>
        <w:t xml:space="preserve">- Gold: Above, plus co-hosting hackathons, first look at results and platform data (anonymized)</w:t>
        <w:br w:type="textWrapping"/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How to Get Involved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t xml:space="preserve">• Contact us to discuss a tailored sponsorship or partnership agreement.</w:t>
        <w:br w:type="textWrapping"/>
        <w:t xml:space="preserve">• Receive regular reports on usage, student engagement, and platform impact.</w:t>
        <w:br w:type="textWrapping"/>
        <w:t xml:space="preserve">• Option to participate in launch events, webinars, or code sprints.</w:t>
        <w:br w:type="textWrapping"/>
        <w:br w:type="textWrapping"/>
        <w:t xml:space="preserve">Contact: Adrian Balan – adrian.balan@airl.com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Team : Adrian Runceanu,   Laviniu Gavanescu, Marian-Madalin Neagu , Adrian Balan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www.airl.ro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irl.r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7xGhZUrjyRkOM8QrHnbA39PKXw==">CgMxLjA4AHIhMTl3TEpJRjhmb0IzN0VnVWFNM2NQNlZ6Q1Bob0JjS0g2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