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3A076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3A076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3A076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3A07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7777777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1D38D4A" w14:textId="77777777" w:rsidR="00BE3526" w:rsidRDefault="00BE3526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54266A0" w14:textId="77777777" w:rsidR="00BE3526" w:rsidRDefault="00BE3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CC6756" w14:textId="3BE041A0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552"/>
        <w:gridCol w:w="1984"/>
      </w:tblGrid>
      <w:tr w:rsidR="00770200" w:rsidRPr="00D10010" w14:paraId="0D0288D4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C9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4A5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DC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66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7EC0942D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B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8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0D72A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098F0EE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03B1B44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0691E2C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5B50B4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D7DDA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C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0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5D2DF958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9D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05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5FA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2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549FC5F2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8B3F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C7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A4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6F4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6A271A">
        <w:t>пакетный режим для поочередной конвертации всех файлов.</w:t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118E4D8" w:rsidR="008E154A" w:rsidRDefault="00997BA2" w:rsidP="002D192A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48DBDE7" wp14:editId="25E50E74">
            <wp:extent cx="6067425" cy="467815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32" cy="46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4" w:name="_Toc34125504"/>
      <w:bookmarkStart w:id="15" w:name="_Toc36331835"/>
      <w:r>
        <w:t>3.3 Макет пользовательского интерфейса</w:t>
      </w:r>
      <w:bookmarkEnd w:id="14"/>
      <w:bookmarkEnd w:id="15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</w:t>
      </w:r>
      <w:bookmarkStart w:id="16" w:name="_GoBack"/>
      <w:bookmarkEnd w:id="16"/>
      <w:r w:rsidR="004D059E">
        <w:rPr>
          <w:lang w:val="en-US"/>
        </w:rPr>
        <w:t>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7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2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3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4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5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088CB" w14:textId="77777777" w:rsidR="003A0768" w:rsidRDefault="003A0768" w:rsidP="001062E6">
      <w:pPr>
        <w:spacing w:after="0" w:line="240" w:lineRule="auto"/>
      </w:pPr>
      <w:r>
        <w:separator/>
      </w:r>
    </w:p>
  </w:endnote>
  <w:endnote w:type="continuationSeparator" w:id="0">
    <w:p w14:paraId="1631A498" w14:textId="77777777" w:rsidR="003A0768" w:rsidRDefault="003A0768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35665" w14:textId="77777777" w:rsidR="003A0768" w:rsidRDefault="003A0768" w:rsidP="001062E6">
      <w:pPr>
        <w:spacing w:after="0" w:line="240" w:lineRule="auto"/>
      </w:pPr>
      <w:r>
        <w:separator/>
      </w:r>
    </w:p>
  </w:footnote>
  <w:footnote w:type="continuationSeparator" w:id="0">
    <w:p w14:paraId="51AC156E" w14:textId="77777777" w:rsidR="003A0768" w:rsidRDefault="003A0768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68D61EEB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59E">
          <w:rPr>
            <w:noProof/>
          </w:rPr>
          <w:t>16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auto"/>
        </w:rPr>
      </w:lvl>
    </w:lvlOverride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4E42"/>
    <w:rsid w:val="00BE3526"/>
    <w:rsid w:val="00BE36C8"/>
    <w:rsid w:val="00C30F06"/>
    <w:rsid w:val="00C355E4"/>
    <w:rsid w:val="00C613EB"/>
    <w:rsid w:val="00C640FF"/>
    <w:rsid w:val="00C64C88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tanok.guru/oborudovanie/klyuchi/gaechnye-i-torcevye-klyuchi-foto-harakteristik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://isicad.ru/ru/news.php?news=16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s://ru.wikipedia.org/wiki/&#1055;&#1083;&#1072;&#1075;&#1080;&#1085;" TargetMode="External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9B7D-B0B7-48A9-8057-E61160FA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10</cp:revision>
  <dcterms:created xsi:type="dcterms:W3CDTF">2021-01-26T13:48:00Z</dcterms:created>
  <dcterms:modified xsi:type="dcterms:W3CDTF">2021-03-04T08:06:00Z</dcterms:modified>
</cp:coreProperties>
</file>