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Bridge – Integration Guide</w:t>
      </w:r>
    </w:p>
    <w:p>
      <w:r>
        <w:t>Combines Breath + emotion model. Sends OSC to TouchDesigner.</w:t>
      </w:r>
    </w:p>
    <w:p>
      <w:pPr>
        <w:pStyle w:val="Heading1"/>
      </w:pPr>
      <w:r>
        <w:t>API</w:t>
      </w:r>
    </w:p>
    <w:p>
      <w:r>
        <w:t>prepare_audio(waveform, sample_rate) – Denoise + enhance</w:t>
      </w:r>
    </w:p>
    <w:p>
      <w:r>
        <w:t>run_combined(audio_path=None, waveform=None, sample_rate=None, clean_audio=True)</w:t>
      </w:r>
    </w:p>
    <w:p>
      <w:r>
        <w:t>configure_osc(ip, port, enabled)</w:t>
      </w:r>
    </w:p>
    <w:p>
      <w:pPr>
        <w:pStyle w:val="Heading1"/>
      </w:pPr>
      <w:r>
        <w:t>OSC messages</w:t>
      </w:r>
    </w:p>
    <w:p>
      <w:r>
        <w:t>/emotion (int 0-6), /frequency (float 0-1), /breath (int 0-3), /bpm (float 0-1)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